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Transition Guide</w:t>
      </w:r>
    </w:p>
    <w:p>
      <w:pPr>
        <w:keepNext/>
        <w:spacing w:after="40" w:before="0"/>
      </w:pPr>
      <w:r>
        <w:rPr>
          <w:b/>
          <w:i w:val="0"/>
          <w:color w:val="1B2A4A"/>
          <w:sz w:val="40"/>
        </w:rPr>
        <w:t>From ISO 14001:2015 to ISO 14001:2026</w:t>
      </w:r>
    </w:p>
    <w:p>
      <w:pPr>
        <w:spacing w:after="40" w:before="0"/>
      </w:pPr>
      <w:r>
        <w:rPr>
          <w:b/>
          <w:i w:val="0"/>
          <w:color w:val="1B2A4A"/>
          <w:sz w:val="26"/>
        </w:rPr>
        <w:t>A transition guide for hotels</w:t>
      </w:r>
    </w:p>
    <w:p>
      <w:pPr>
        <w:spacing w:after="160" w:before="0"/>
      </w:pPr>
      <w:r>
        <w:rPr>
          <w:b w:val="0"/>
          <w:i/>
          <w:color w:val="5A5A5A"/>
          <w:sz w:val="17"/>
        </w:rPr>
        <w:t>Updated 25 October 2026 · replaces the August 2026 version</w:t>
      </w:r>
    </w:p>
    <w:p>
      <w:pPr>
        <w:spacing w:after="100" w:before="0"/>
      </w:pPr>
      <w:r>
        <w:rPr>
          <w:b w:val="0"/>
          <w:i w:val="0"/>
          <w:sz w:val="20"/>
        </w:rPr>
        <w:t>ISO 14001:2026, the fourth edition of the standard, was published in April 2026. It cancels and replaces ISO 14001:2015 and its Amendment 1:2024 on climate change. Most of a working environmental management system carries over unchanged: the changes are few, specific and checkable against the text.</w:t>
      </w:r>
    </w:p>
    <w:p>
      <w:pPr>
        <w:spacing w:after="100" w:before="0"/>
      </w:pPr>
      <w:r>
        <w:rPr>
          <w:b w:val="0"/>
          <w:i w:val="0"/>
          <w:sz w:val="20"/>
        </w:rPr>
        <w:t>This update replaces the August 2026 version of this guide. Two things are new. First, the accreditation timetable is now fixed by Global ACI-TECH-3-TR 2029-04-30 (M), version 1.0, issued 4 September 2026, applicable from 14 September 2026, so the dates below are no longer provisional. Second, the list of changes now also covers the new defined term “indicator”, the note on the hierarchy of controls in 8.1, and the edition’s replacement of Amendment 1:2024.</w:t>
      </w:r>
    </w:p>
    <w:p>
      <w:pPr>
        <w:spacing w:after="100" w:before="0"/>
      </w:pPr>
      <w:r>
        <w:rPr>
          <w:b w:val="0"/>
          <w:i w:val="0"/>
          <w:sz w:val="20"/>
        </w:rPr>
        <w:t>One rule runs through the whole guide, as it runs through the book: a requirement is what the text of the standard says “shall”. A note, an annex, an auditor’s preference or a good practice is not a requirement, and the guide marks the difference each time.</w:t>
      </w:r>
    </w:p>
    <w:p>
      <w:pPr>
        <w:keepNext/>
        <w:spacing w:after="80" w:before="200"/>
      </w:pPr>
      <w:r>
        <w:rPr>
          <w:b/>
          <w:i w:val="0"/>
          <w:color w:val="9A7B2E"/>
          <w:sz w:val="26"/>
        </w:rPr>
        <w:t>1  What changed in ISO 14001:2026</w:t>
      </w:r>
    </w:p>
    <w:p>
      <w:pPr>
        <w:keepNext/>
        <w:spacing w:after="80" w:before="0"/>
      </w:pPr>
      <w:r>
        <w:rPr>
          <w:b w:val="0"/>
          <w:i/>
          <w:color w:val="5A5A5A"/>
          <w:sz w:val="18"/>
        </w:rPr>
        <w:t>Eight points, each checked against the text. The last column says what kind of text it is.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814"/>
        <w:gridCol w:w="3288"/>
        <w:gridCol w:w="3175"/>
        <w:gridCol w:w="1360"/>
      </w:tblGrid>
      <w:tr>
        <w:trPr>
          <w:tblHeader w:val="true"/>
        </w:trPr>
        <w:tc>
          <w:tcPr>
            <w:tcW w:type="dxa" w:w="1814"/>
            <w:shd w:val="clear" w:color="auto" w:fill="1B2A4A"/>
          </w:tcPr>
          <w:p>
            <w:pPr>
              <w:spacing w:after="0"/>
            </w:pPr>
            <w:r/>
            <w:r>
              <w:rPr>
                <w:b/>
                <w:i w:val="0"/>
                <w:color w:val="FFFFFF"/>
                <w:sz w:val="17"/>
              </w:rPr>
              <w:t>Clause</w:t>
            </w:r>
          </w:p>
        </w:tc>
        <w:tc>
          <w:tcPr>
            <w:tcW w:type="dxa" w:w="3288"/>
            <w:shd w:val="clear" w:color="auto" w:fill="1B2A4A"/>
          </w:tcPr>
          <w:p>
            <w:pPr>
              <w:spacing w:after="0"/>
            </w:pPr>
            <w:r/>
            <w:r>
              <w:rPr>
                <w:b/>
                <w:i w:val="0"/>
                <w:color w:val="FFFFFF"/>
                <w:sz w:val="17"/>
              </w:rPr>
              <w:t>What changed</w:t>
            </w:r>
          </w:p>
        </w:tc>
        <w:tc>
          <w:tcPr>
            <w:tcW w:type="dxa" w:w="3175"/>
            <w:shd w:val="clear" w:color="auto" w:fill="1B2A4A"/>
          </w:tcPr>
          <w:p>
            <w:pPr>
              <w:spacing w:after="0"/>
            </w:pPr>
            <w:r/>
            <w:r>
              <w:rPr>
                <w:b/>
                <w:i w:val="0"/>
                <w:color w:val="FFFFFF"/>
                <w:sz w:val="17"/>
              </w:rPr>
              <w:t>What it asks of a hotel</w:t>
            </w:r>
          </w:p>
        </w:tc>
        <w:tc>
          <w:tcPr>
            <w:tcW w:type="dxa" w:w="1361"/>
            <w:shd w:val="clear" w:color="auto" w:fill="1B2A4A"/>
          </w:tcPr>
          <w:p>
            <w:pPr>
              <w:spacing w:after="0"/>
            </w:pPr>
            <w:r/>
            <w:r>
              <w:rPr>
                <w:b/>
                <w:i w:val="0"/>
                <w:color w:val="FFFFFF"/>
                <w:sz w:val="17"/>
              </w:rPr>
              <w:t>Status</w:t>
            </w:r>
          </w:p>
        </w:tc>
      </w:tr>
      <w:tr>
        <w:trPr>
          <w:cantSplit w:val="true"/>
        </w:trPr>
        <w:tc>
          <w:tcPr>
            <w:tcW w:type="dxa" w:w="1814"/>
            <w:shd w:val="clear" w:color="auto" w:fill="F3EFE6"/>
          </w:tcPr>
          <w:p>
            <w:pPr>
              <w:spacing w:after="0"/>
            </w:pPr>
            <w:r/>
            <w:r>
              <w:rPr>
                <w:b/>
                <w:i w:val="0"/>
                <w:sz w:val="17"/>
              </w:rPr>
              <w:t>4.1 Context of the organization</w:t>
            </w:r>
          </w:p>
        </w:tc>
        <w:tc>
          <w:tcPr>
            <w:tcW w:type="dxa" w:w="3288"/>
            <w:shd w:val="clear" w:color="auto" w:fill="F3EFE6"/>
          </w:tcPr>
          <w:p>
            <w:pPr>
              <w:spacing w:after="0"/>
            </w:pPr>
            <w:r/>
            <w:r>
              <w:rPr>
                <w:b w:val="0"/>
                <w:i w:val="0"/>
                <w:sz w:val="17"/>
              </w:rPr>
              <w:t>The environmental conditions to be considered are now named in the requirement itself, introduced by “such as”: pollution levels, availability of natural resources, climate change, biodiversity and ecosystem health. The 2015 text already required environmental conditions to be considered; the named list used to sit in Annex A.</w:t>
            </w:r>
          </w:p>
        </w:tc>
        <w:tc>
          <w:tcPr>
            <w:tcW w:type="dxa" w:w="3175"/>
            <w:shd w:val="clear" w:color="auto" w:fill="F3EFE6"/>
          </w:tcPr>
          <w:p>
            <w:pPr>
              <w:spacing w:after="0"/>
            </w:pPr>
            <w:r/>
            <w:r>
              <w:rPr>
                <w:b w:val="0"/>
                <w:i w:val="0"/>
                <w:sz w:val="17"/>
              </w:rPr>
              <w:t>Check that your context determination has looked at each named condition in both directions — what the property does to it, and what it can do to the property. “Such as” gives examples: it is not a closed list and it does not ask for five separate studies.</w:t>
            </w:r>
          </w:p>
        </w:tc>
        <w:tc>
          <w:tcPr>
            <w:tcW w:type="dxa" w:w="1361"/>
            <w:shd w:val="clear" w:color="auto" w:fill="F3EFE6"/>
          </w:tcPr>
          <w:p>
            <w:pPr>
              <w:spacing w:after="0"/>
            </w:pPr>
            <w:r/>
            <w:r>
              <w:rPr>
                <w:b w:val="0"/>
                <w:i w:val="0"/>
                <w:sz w:val="17"/>
              </w:rPr>
              <w:t>Requirement</w:t>
            </w:r>
          </w:p>
        </w:tc>
      </w:tr>
      <w:tr>
        <w:trPr>
          <w:cantSplit w:val="true"/>
        </w:trPr>
        <w:tc>
          <w:tcPr>
            <w:tcW w:type="dxa" w:w="1814"/>
          </w:tcPr>
          <w:p>
            <w:pPr>
              <w:spacing w:after="0"/>
            </w:pPr>
            <w:r/>
            <w:r>
              <w:rPr>
                <w:b/>
                <w:i w:val="0"/>
                <w:sz w:val="17"/>
              </w:rPr>
              <w:t>6.1.4 Risks and opportunities (new subclause)</w:t>
            </w:r>
          </w:p>
        </w:tc>
        <w:tc>
          <w:tcPr>
            <w:tcW w:type="dxa" w:w="3288"/>
          </w:tcPr>
          <w:p>
            <w:pPr>
              <w:spacing w:after="0"/>
            </w:pPr>
            <w:r/>
            <w:r>
              <w:rPr>
                <w:b w:val="0"/>
                <w:i w:val="0"/>
                <w:sz w:val="17"/>
              </w:rPr>
              <w:t>Determining risks and opportunities now has a subclause of its own. In 2015 it sat inside 6.1.1.</w:t>
            </w:r>
          </w:p>
        </w:tc>
        <w:tc>
          <w:tcPr>
            <w:tcW w:type="dxa" w:w="3175"/>
          </w:tcPr>
          <w:p>
            <w:pPr>
              <w:spacing w:after="0"/>
            </w:pPr>
            <w:r/>
            <w:r>
              <w:rPr>
                <w:b w:val="0"/>
                <w:i w:val="0"/>
                <w:sz w:val="17"/>
              </w:rPr>
              <w:t>Your existing determination may already cover the content. Make sure it addresses environmental aspects, compliance obligations and the issues and requirements from 4.1 and 4.2, and that records refer to 6.1.4.</w:t>
            </w:r>
          </w:p>
        </w:tc>
        <w:tc>
          <w:tcPr>
            <w:tcW w:type="dxa" w:w="1361"/>
          </w:tcPr>
          <w:p>
            <w:pPr>
              <w:spacing w:after="0"/>
            </w:pPr>
            <w:r/>
            <w:r>
              <w:rPr>
                <w:b w:val="0"/>
                <w:i w:val="0"/>
                <w:sz w:val="17"/>
              </w:rPr>
              <w:t>Requirement</w:t>
            </w:r>
          </w:p>
        </w:tc>
      </w:tr>
      <w:tr>
        <w:trPr>
          <w:cantSplit w:val="true"/>
        </w:trPr>
        <w:tc>
          <w:tcPr>
            <w:tcW w:type="dxa" w:w="1814"/>
            <w:shd w:val="clear" w:color="auto" w:fill="F3EFE6"/>
          </w:tcPr>
          <w:p>
            <w:pPr>
              <w:spacing w:after="0"/>
            </w:pPr>
            <w:r/>
            <w:r>
              <w:rPr>
                <w:b/>
                <w:i w:val="0"/>
                <w:sz w:val="17"/>
              </w:rPr>
              <w:t>6.1.5 Planning action</w:t>
            </w:r>
          </w:p>
        </w:tc>
        <w:tc>
          <w:tcPr>
            <w:tcW w:type="dxa" w:w="3288"/>
            <w:shd w:val="clear" w:color="auto" w:fill="F3EFE6"/>
          </w:tcPr>
          <w:p>
            <w:pPr>
              <w:spacing w:after="0"/>
            </w:pPr>
            <w:r/>
            <w:r>
              <w:rPr>
                <w:b w:val="0"/>
                <w:i w:val="0"/>
                <w:sz w:val="17"/>
              </w:rPr>
              <w:t>What was 6.1.4 “Planning action” in 2015 is now 6.1.5. The content is carried over.</w:t>
            </w:r>
          </w:p>
        </w:tc>
        <w:tc>
          <w:tcPr>
            <w:tcW w:type="dxa" w:w="3175"/>
            <w:shd w:val="clear" w:color="auto" w:fill="F3EFE6"/>
          </w:tcPr>
          <w:p>
            <w:pPr>
              <w:spacing w:after="0"/>
            </w:pPr>
            <w:r/>
            <w:r>
              <w:rPr>
                <w:b w:val="0"/>
                <w:i w:val="0"/>
                <w:sz w:val="17"/>
              </w:rPr>
              <w:t>Update cross-references in procedures, audit checklists and the management review agenda.</w:t>
            </w:r>
          </w:p>
        </w:tc>
        <w:tc>
          <w:tcPr>
            <w:tcW w:type="dxa" w:w="1361"/>
            <w:shd w:val="clear" w:color="auto" w:fill="F3EFE6"/>
          </w:tcPr>
          <w:p>
            <w:pPr>
              <w:spacing w:after="0"/>
            </w:pPr>
            <w:r/>
            <w:r>
              <w:rPr>
                <w:b w:val="0"/>
                <w:i w:val="0"/>
                <w:sz w:val="17"/>
              </w:rPr>
              <w:t>Requirement (renumbered)</w:t>
            </w:r>
          </w:p>
        </w:tc>
      </w:tr>
      <w:tr>
        <w:trPr>
          <w:cantSplit w:val="true"/>
        </w:trPr>
        <w:tc>
          <w:tcPr>
            <w:tcW w:type="dxa" w:w="1814"/>
          </w:tcPr>
          <w:p>
            <w:pPr>
              <w:spacing w:after="0"/>
            </w:pPr>
            <w:r/>
            <w:r>
              <w:rPr>
                <w:b/>
                <w:i w:val="0"/>
                <w:sz w:val="17"/>
              </w:rPr>
              <w:t>6.3 Planning of changes (new)</w:t>
            </w:r>
          </w:p>
        </w:tc>
        <w:tc>
          <w:tcPr>
            <w:tcW w:type="dxa" w:w="3288"/>
          </w:tcPr>
          <w:p>
            <w:pPr>
              <w:spacing w:after="0"/>
            </w:pPr>
            <w:r/>
            <w:r>
              <w:rPr>
                <w:b w:val="0"/>
                <w:i w:val="0"/>
                <w:sz w:val="17"/>
              </w:rPr>
              <w:t>A new planning requirement for changes that affect or can affect the environmental management system. In 2015 change was handled downstream, mainly in operational control (8.1: control planned changes, review the consequences of unintended ones) and in several other clauses. The 2026 edition moves it upstream, into planning.</w:t>
            </w:r>
          </w:p>
        </w:tc>
        <w:tc>
          <w:tcPr>
            <w:tcW w:type="dxa" w:w="3175"/>
          </w:tcPr>
          <w:p>
            <w:pPr>
              <w:spacing w:after="0"/>
            </w:pPr>
            <w:r/>
            <w:r>
              <w:rPr>
                <w:b w:val="0"/>
                <w:i w:val="0"/>
                <w:sz w:val="17"/>
              </w:rPr>
              <w:t>Decide how a change — a new kitchen line, an outsourced laundry, a renovation, a new concession — is planned before it is made, and who looks at its environmental side. An existing management-of-change practice under 8.1 can often be extended rather than replaced.</w:t>
            </w:r>
          </w:p>
        </w:tc>
        <w:tc>
          <w:tcPr>
            <w:tcW w:type="dxa" w:w="1361"/>
          </w:tcPr>
          <w:p>
            <w:pPr>
              <w:spacing w:after="0"/>
            </w:pPr>
            <w:r/>
            <w:r>
              <w:rPr>
                <w:b w:val="0"/>
                <w:i w:val="0"/>
                <w:sz w:val="17"/>
              </w:rPr>
              <w:t>Requirement</w:t>
            </w:r>
          </w:p>
        </w:tc>
      </w:tr>
      <w:tr>
        <w:trPr>
          <w:cantSplit w:val="true"/>
        </w:trPr>
        <w:tc>
          <w:tcPr>
            <w:tcW w:type="dxa" w:w="1814"/>
            <w:shd w:val="clear" w:color="auto" w:fill="F3EFE6"/>
          </w:tcPr>
          <w:p>
            <w:pPr>
              <w:spacing w:after="0"/>
            </w:pPr>
            <w:r/>
            <w:r>
              <w:rPr>
                <w:b/>
                <w:i w:val="0"/>
                <w:sz w:val="17"/>
              </w:rPr>
              <w:t>Section 10 Improvement</w:t>
            </w:r>
          </w:p>
        </w:tc>
        <w:tc>
          <w:tcPr>
            <w:tcW w:type="dxa" w:w="3288"/>
            <w:shd w:val="clear" w:color="auto" w:fill="F3EFE6"/>
          </w:tcPr>
          <w:p>
            <w:pPr>
              <w:spacing w:after="0"/>
            </w:pPr>
            <w:r/>
            <w:r>
              <w:rPr>
                <w:b w:val="0"/>
                <w:i w:val="0"/>
                <w:sz w:val="17"/>
              </w:rPr>
              <w:t>Section 10 now has two subclauses: 10.1 Continual improvement and 10.2 Nonconformity and corrective action. The former 10.1 “General” is gone; continual improvement moves from 10.3 to 10.1.</w:t>
            </w:r>
          </w:p>
        </w:tc>
        <w:tc>
          <w:tcPr>
            <w:tcW w:type="dxa" w:w="3175"/>
            <w:shd w:val="clear" w:color="auto" w:fill="F3EFE6"/>
          </w:tcPr>
          <w:p>
            <w:pPr>
              <w:spacing w:after="0"/>
            </w:pPr>
            <w:r/>
            <w:r>
              <w:rPr>
                <w:b w:val="0"/>
                <w:i w:val="0"/>
                <w:sz w:val="17"/>
              </w:rPr>
              <w:t>Replace references to 10.3 with 10.1. References to 10.2 stay valid.</w:t>
            </w:r>
          </w:p>
        </w:tc>
        <w:tc>
          <w:tcPr>
            <w:tcW w:type="dxa" w:w="1361"/>
            <w:shd w:val="clear" w:color="auto" w:fill="F3EFE6"/>
          </w:tcPr>
          <w:p>
            <w:pPr>
              <w:spacing w:after="0"/>
            </w:pPr>
            <w:r/>
            <w:r>
              <w:rPr>
                <w:b w:val="0"/>
                <w:i w:val="0"/>
                <w:sz w:val="17"/>
              </w:rPr>
              <w:t>Requirement (restructured)</w:t>
            </w:r>
          </w:p>
        </w:tc>
      </w:tr>
      <w:tr>
        <w:trPr>
          <w:cantSplit w:val="true"/>
        </w:trPr>
        <w:tc>
          <w:tcPr>
            <w:tcW w:type="dxa" w:w="1814"/>
          </w:tcPr>
          <w:p>
            <w:pPr>
              <w:spacing w:after="0"/>
            </w:pPr>
            <w:r/>
            <w:r>
              <w:rPr>
                <w:b/>
                <w:i w:val="0"/>
                <w:sz w:val="17"/>
              </w:rPr>
              <w:t>Clause 3 — new definition “indicator”; 6.2.2 e) and 9.1.1</w:t>
            </w:r>
          </w:p>
        </w:tc>
        <w:tc>
          <w:tcPr>
            <w:tcW w:type="dxa" w:w="3288"/>
          </w:tcPr>
          <w:p>
            <w:pPr>
              <w:spacing w:after="0"/>
            </w:pPr>
            <w:r/>
            <w:r>
              <w:rPr>
                <w:b w:val="0"/>
                <w:i w:val="0"/>
                <w:sz w:val="17"/>
              </w:rPr>
              <w:t>The standard now defines “indicator”. The requirements that use it are 6.2.2 e), on how the results of objectives are evaluated, and 9.1.1, on evaluating environmental performance. Both already spoke of indicators in 2015; what is new is a defined term your indicators can be read against.</w:t>
            </w:r>
          </w:p>
        </w:tc>
        <w:tc>
          <w:tcPr>
            <w:tcW w:type="dxa" w:w="3175"/>
          </w:tcPr>
          <w:p>
            <w:pPr>
              <w:spacing w:after="0"/>
            </w:pPr>
            <w:r/>
            <w:r>
              <w:rPr>
                <w:b w:val="0"/>
                <w:i w:val="0"/>
                <w:sz w:val="17"/>
              </w:rPr>
              <w:t>Check each indicator used for objectives and for performance evaluation against the definition — above all, whether it can show a change over time rather than only a running total.</w:t>
            </w:r>
          </w:p>
        </w:tc>
        <w:tc>
          <w:tcPr>
            <w:tcW w:type="dxa" w:w="1361"/>
          </w:tcPr>
          <w:p>
            <w:pPr>
              <w:spacing w:after="0"/>
            </w:pPr>
            <w:r/>
            <w:r>
              <w:rPr>
                <w:b w:val="0"/>
                <w:i w:val="0"/>
                <w:sz w:val="17"/>
              </w:rPr>
              <w:t>Definition used by requirements</w:t>
            </w:r>
          </w:p>
        </w:tc>
      </w:tr>
      <w:tr>
        <w:trPr>
          <w:cantSplit w:val="true"/>
        </w:trPr>
        <w:tc>
          <w:tcPr>
            <w:tcW w:type="dxa" w:w="1814"/>
            <w:shd w:val="clear" w:color="auto" w:fill="F3EFE6"/>
          </w:tcPr>
          <w:p>
            <w:pPr>
              <w:spacing w:after="0"/>
            </w:pPr>
            <w:r/>
            <w:r>
              <w:rPr>
                <w:b/>
                <w:i w:val="0"/>
                <w:sz w:val="17"/>
              </w:rPr>
              <w:t>8.1 Operational planning and control — note on the hierarchy of controls</w:t>
            </w:r>
          </w:p>
        </w:tc>
        <w:tc>
          <w:tcPr>
            <w:tcW w:type="dxa" w:w="3288"/>
            <w:shd w:val="clear" w:color="auto" w:fill="F3EFE6"/>
          </w:tcPr>
          <w:p>
            <w:pPr>
              <w:spacing w:after="0"/>
            </w:pPr>
            <w:r/>
            <w:r>
              <w:rPr>
                <w:b w:val="0"/>
                <w:i w:val="0"/>
                <w:sz w:val="17"/>
              </w:rPr>
              <w:t>A note now refers to the hierarchy of controls (from eliminating a hazard or impact through substitution to administrative measures).</w:t>
            </w:r>
          </w:p>
        </w:tc>
        <w:tc>
          <w:tcPr>
            <w:tcW w:type="dxa" w:w="3175"/>
            <w:shd w:val="clear" w:color="auto" w:fill="F3EFE6"/>
          </w:tcPr>
          <w:p>
            <w:pPr>
              <w:spacing w:after="0"/>
            </w:pPr>
            <w:r/>
            <w:r>
              <w:rPr>
                <w:b w:val="0"/>
                <w:i w:val="0"/>
                <w:sz w:val="17"/>
              </w:rPr>
              <w:t>Nothing has to be changed because of it. It is a note: useful when choosing controls, not a requirement to document a hierarchy.</w:t>
            </w:r>
          </w:p>
        </w:tc>
        <w:tc>
          <w:tcPr>
            <w:tcW w:type="dxa" w:w="1361"/>
            <w:shd w:val="clear" w:color="auto" w:fill="F3EFE6"/>
          </w:tcPr>
          <w:p>
            <w:pPr>
              <w:spacing w:after="0"/>
            </w:pPr>
            <w:r/>
            <w:r>
              <w:rPr>
                <w:b w:val="0"/>
                <w:i w:val="0"/>
                <w:sz w:val="17"/>
              </w:rPr>
              <w:t>Note — not a requirement</w:t>
            </w:r>
          </w:p>
        </w:tc>
      </w:tr>
      <w:tr>
        <w:trPr>
          <w:cantSplit w:val="true"/>
        </w:trPr>
        <w:tc>
          <w:tcPr>
            <w:tcW w:type="dxa" w:w="1814"/>
          </w:tcPr>
          <w:p>
            <w:pPr>
              <w:spacing w:after="0"/>
            </w:pPr>
            <w:r/>
            <w:r>
              <w:rPr>
                <w:b/>
                <w:i w:val="0"/>
                <w:sz w:val="17"/>
              </w:rPr>
              <w:t>Foreword — edition statement</w:t>
            </w:r>
          </w:p>
        </w:tc>
        <w:tc>
          <w:tcPr>
            <w:tcW w:type="dxa" w:w="3288"/>
          </w:tcPr>
          <w:p>
            <w:pPr>
              <w:spacing w:after="0"/>
            </w:pPr>
            <w:r/>
            <w:r>
              <w:rPr>
                <w:b w:val="0"/>
                <w:i w:val="0"/>
                <w:sz w:val="17"/>
              </w:rPr>
              <w:t>The 2026 edition replaces ISO 14001:2015 together with Amendment 1:2024. The climate-change wording introduced by the amendment is now part of the main text.</w:t>
            </w:r>
          </w:p>
        </w:tc>
        <w:tc>
          <w:tcPr>
            <w:tcW w:type="dxa" w:w="3175"/>
          </w:tcPr>
          <w:p>
            <w:pPr>
              <w:spacing w:after="0"/>
            </w:pPr>
            <w:r/>
            <w:r>
              <w:rPr>
                <w:b w:val="0"/>
                <w:i w:val="0"/>
                <w:sz w:val="17"/>
              </w:rPr>
              <w:t>Replace references to “ISO 14001:2015 + Amd 1:2024” with “ISO 14001:2026” in your documents and in what you say about your certificate.</w:t>
            </w:r>
          </w:p>
        </w:tc>
        <w:tc>
          <w:tcPr>
            <w:tcW w:type="dxa" w:w="1361"/>
          </w:tcPr>
          <w:p>
            <w:pPr>
              <w:spacing w:after="0"/>
            </w:pPr>
            <w:r/>
            <w:r>
              <w:rPr>
                <w:b w:val="0"/>
                <w:i w:val="0"/>
                <w:sz w:val="17"/>
              </w:rPr>
              <w:t>Edition statement</w:t>
            </w:r>
          </w:p>
        </w:tc>
      </w:tr>
    </w:tbl>
    <w:p>
      <w:pPr>
        <w:keepNext/>
        <w:spacing w:after="80" w:before="200"/>
      </w:pPr>
      <w:r>
        <w:rPr>
          <w:b/>
          <w:i w:val="0"/>
          <w:color w:val="9A7B2E"/>
          <w:sz w:val="26"/>
        </w:rPr>
        <w:t>2  What to rework, and what to leave alone</w:t>
      </w:r>
    </w:p>
    <w:p>
      <w:pPr>
        <w:keepNext/>
        <w:spacing w:after="40" w:before="0"/>
      </w:pPr>
      <w:r>
        <w:rPr>
          <w:b/>
          <w:i w:val="0"/>
          <w:color w:val="1B2A4A"/>
          <w:sz w:val="21"/>
        </w:rPr>
        <w:t>Rework</w:t>
      </w:r>
    </w:p>
    <w:p>
      <w:pPr>
        <w:spacing w:after="40" w:before="0"/>
        <w:ind w:left="283" w:hanging="283"/>
      </w:pPr>
      <w:r>
        <w:rPr>
          <w:b w:val="0"/>
          <w:i w:val="0"/>
          <w:color w:val="9A7B2E"/>
          <w:sz w:val="14"/>
        </w:rPr>
        <w:t xml:space="preserve">■  </w:t>
      </w:r>
      <w:r>
        <w:rPr>
          <w:b w:val="0"/>
          <w:i w:val="0"/>
          <w:sz w:val="20"/>
        </w:rPr>
        <w:t>The context determination under 4.1 — so that the named environmental conditions are visibly considered, in both directions.</w:t>
      </w:r>
    </w:p>
    <w:p>
      <w:pPr>
        <w:spacing w:after="40" w:before="0"/>
        <w:ind w:left="283" w:hanging="283"/>
      </w:pPr>
      <w:r>
        <w:rPr>
          <w:b w:val="0"/>
          <w:i w:val="0"/>
          <w:color w:val="9A7B2E"/>
          <w:sz w:val="14"/>
        </w:rPr>
        <w:t xml:space="preserve">■  </w:t>
      </w:r>
      <w:r>
        <w:rPr>
          <w:b w:val="0"/>
          <w:i w:val="0"/>
          <w:sz w:val="20"/>
        </w:rPr>
        <w:t>The risks-and-opportunities record — aligned to 6.1.4, with planning of action under 6.1.5.</w:t>
      </w:r>
    </w:p>
    <w:p>
      <w:pPr>
        <w:spacing w:after="40" w:before="0"/>
        <w:ind w:left="283" w:hanging="283"/>
      </w:pPr>
      <w:r>
        <w:rPr>
          <w:b w:val="0"/>
          <w:i w:val="0"/>
          <w:color w:val="9A7B2E"/>
          <w:sz w:val="14"/>
        </w:rPr>
        <w:t xml:space="preserve">■  </w:t>
      </w:r>
      <w:r>
        <w:rPr>
          <w:b w:val="0"/>
          <w:i w:val="0"/>
          <w:sz w:val="20"/>
        </w:rPr>
        <w:t>A way to plan changes under 6.3 — often an extension of how changes are already controlled under 8.1.</w:t>
      </w:r>
    </w:p>
    <w:p>
      <w:pPr>
        <w:spacing w:after="40" w:before="0"/>
        <w:ind w:left="283" w:hanging="283"/>
      </w:pPr>
      <w:r>
        <w:rPr>
          <w:b w:val="0"/>
          <w:i w:val="0"/>
          <w:color w:val="9A7B2E"/>
          <w:sz w:val="14"/>
        </w:rPr>
        <w:t xml:space="preserve">■  </w:t>
      </w:r>
      <w:r>
        <w:rPr>
          <w:b w:val="0"/>
          <w:i w:val="0"/>
          <w:sz w:val="20"/>
        </w:rPr>
        <w:t>The indicators used for objectives (6.2.2 e)) and for performance evaluation (9.1.1) — checked against the new definition.</w:t>
      </w:r>
    </w:p>
    <w:p>
      <w:pPr>
        <w:spacing w:after="40" w:before="0"/>
        <w:ind w:left="283" w:hanging="283"/>
      </w:pPr>
      <w:r>
        <w:rPr>
          <w:b w:val="0"/>
          <w:i w:val="0"/>
          <w:color w:val="9A7B2E"/>
          <w:sz w:val="14"/>
        </w:rPr>
        <w:t xml:space="preserve">■  </w:t>
      </w:r>
      <w:r>
        <w:rPr>
          <w:b w:val="0"/>
          <w:i w:val="0"/>
          <w:sz w:val="20"/>
        </w:rPr>
        <w:t>Clause cross-references wherever they appear: 10.3 becomes 10.1, 6.1.4 “planning action” becomes 6.1.5.</w:t>
      </w:r>
    </w:p>
    <w:p>
      <w:pPr>
        <w:spacing w:after="40" w:before="0"/>
        <w:ind w:left="283" w:hanging="283"/>
      </w:pPr>
      <w:r>
        <w:rPr>
          <w:b w:val="0"/>
          <w:i w:val="0"/>
          <w:color w:val="9A7B2E"/>
          <w:sz w:val="14"/>
        </w:rPr>
        <w:t xml:space="preserve">■  </w:t>
      </w:r>
      <w:r>
        <w:rPr>
          <w:b w:val="0"/>
          <w:i w:val="0"/>
          <w:sz w:val="20"/>
        </w:rPr>
        <w:t>The internal audit programme and the management review agenda — so that both cover the changes before the transition audit.</w:t>
      </w:r>
    </w:p>
    <w:p>
      <w:pPr>
        <w:keepNext/>
        <w:spacing w:after="40" w:before="120"/>
      </w:pPr>
      <w:r>
        <w:rPr>
          <w:b/>
          <w:i w:val="0"/>
          <w:color w:val="1B2A4A"/>
          <w:sz w:val="21"/>
        </w:rPr>
        <w:t>Leave alone</w:t>
      </w:r>
    </w:p>
    <w:p>
      <w:pPr>
        <w:spacing w:after="40" w:before="0"/>
        <w:ind w:left="283" w:hanging="283"/>
      </w:pPr>
      <w:r>
        <w:rPr>
          <w:b w:val="0"/>
          <w:i w:val="0"/>
          <w:color w:val="9A7B2E"/>
          <w:sz w:val="18"/>
        </w:rPr>
        <w:t xml:space="preserve">□  </w:t>
      </w:r>
      <w:r>
        <w:rPr>
          <w:b w:val="0"/>
          <w:i w:val="0"/>
          <w:sz w:val="20"/>
        </w:rPr>
        <w:t>The aspects register, compliance obligations, objectives, operational controls, emergency preparedness, competence, awareness and document control — unless your gap check shows something specific. Their requirements carry over.</w:t>
      </w:r>
    </w:p>
    <w:p>
      <w:pPr>
        <w:spacing w:after="40" w:before="0"/>
        <w:ind w:left="283" w:hanging="283"/>
      </w:pPr>
      <w:r>
        <w:rPr>
          <w:b w:val="0"/>
          <w:i w:val="0"/>
          <w:color w:val="9A7B2E"/>
          <w:sz w:val="18"/>
        </w:rPr>
        <w:t xml:space="preserve">□  </w:t>
      </w:r>
      <w:r>
        <w:rPr>
          <w:b w:val="0"/>
          <w:i w:val="0"/>
          <w:sz w:val="20"/>
        </w:rPr>
        <w:t>The environmental policy, unless your gap check against the text shows a specific gap.</w:t>
      </w:r>
    </w:p>
    <w:p>
      <w:pPr>
        <w:spacing w:after="40" w:before="0"/>
        <w:ind w:left="283" w:hanging="283"/>
      </w:pPr>
      <w:r>
        <w:rPr>
          <w:b w:val="0"/>
          <w:i w:val="0"/>
          <w:color w:val="9A7B2E"/>
          <w:sz w:val="18"/>
        </w:rPr>
        <w:t xml:space="preserve">□  </w:t>
      </w:r>
      <w:r>
        <w:rPr>
          <w:b w:val="0"/>
          <w:i w:val="0"/>
          <w:sz w:val="20"/>
        </w:rPr>
        <w:t>The structure of your documentation. The standard does not require a manual, and it does not require your documents to follow its clause numbers.</w:t>
      </w:r>
    </w:p>
    <w:p>
      <w:pPr>
        <w:spacing w:after="40" w:before="0"/>
        <w:ind w:left="283" w:hanging="283"/>
      </w:pPr>
      <w:r>
        <w:rPr>
          <w:b w:val="0"/>
          <w:i w:val="0"/>
          <w:color w:val="9A7B2E"/>
          <w:sz w:val="18"/>
        </w:rPr>
        <w:t xml:space="preserve">□  </w:t>
      </w:r>
      <w:r>
        <w:rPr>
          <w:b w:val="0"/>
          <w:i w:val="0"/>
          <w:sz w:val="20"/>
        </w:rPr>
        <w:t>Records that carry no clause numbers: they need no renumbering.</w:t>
      </w:r>
    </w:p>
    <w:p>
      <w:pPr>
        <w:keepNext/>
        <w:spacing w:after="80" w:before="200"/>
      </w:pPr>
      <w:r>
        <w:rPr>
          <w:b/>
          <w:i w:val="0"/>
          <w:color w:val="9A7B2E"/>
          <w:sz w:val="26"/>
        </w:rPr>
        <w:t>3  A sequence of steps</w:t>
      </w:r>
    </w:p>
    <w:p>
      <w:pPr>
        <w:keepNext/>
        <w:spacing w:after="80" w:before="0"/>
      </w:pPr>
      <w:r>
        <w:rPr>
          <w:b w:val="0"/>
          <w:i/>
          <w:color w:val="5A5A5A"/>
          <w:sz w:val="18"/>
        </w:rPr>
        <w:t>A sequence that works, not a sequence the standard prescribes. Steps 3 to 7 can run in parallel in a small property.</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680"/>
        <w:gridCol w:w="3005"/>
        <w:gridCol w:w="5953"/>
      </w:tblGrid>
      <w:tr>
        <w:trPr>
          <w:tblHeader w:val="true"/>
        </w:trPr>
        <w:tc>
          <w:tcPr>
            <w:tcW w:type="dxa" w:w="680"/>
            <w:shd w:val="clear" w:color="auto" w:fill="1B2A4A"/>
          </w:tcPr>
          <w:p>
            <w:pPr>
              <w:spacing w:after="0"/>
            </w:pPr>
            <w:r/>
            <w:r>
              <w:rPr>
                <w:b/>
                <w:i w:val="0"/>
                <w:color w:val="FFFFFF"/>
                <w:sz w:val="17"/>
              </w:rPr>
              <w:t>Step</w:t>
            </w:r>
          </w:p>
        </w:tc>
        <w:tc>
          <w:tcPr>
            <w:tcW w:type="dxa" w:w="3005"/>
            <w:shd w:val="clear" w:color="auto" w:fill="1B2A4A"/>
          </w:tcPr>
          <w:p>
            <w:pPr>
              <w:spacing w:after="0"/>
            </w:pPr>
            <w:r/>
            <w:r>
              <w:rPr>
                <w:b/>
                <w:i w:val="0"/>
                <w:color w:val="FFFFFF"/>
                <w:sz w:val="17"/>
              </w:rPr>
              <w:t>What</w:t>
            </w:r>
          </w:p>
        </w:tc>
        <w:tc>
          <w:tcPr>
            <w:tcW w:type="dxa" w:w="5953"/>
            <w:shd w:val="clear" w:color="auto" w:fill="1B2A4A"/>
          </w:tcPr>
          <w:p>
            <w:pPr>
              <w:spacing w:after="0"/>
            </w:pPr>
            <w:r/>
            <w:r>
              <w:rPr>
                <w:b/>
                <w:i w:val="0"/>
                <w:color w:val="FFFFFF"/>
                <w:sz w:val="17"/>
              </w:rPr>
              <w:t>How</w:t>
            </w:r>
          </w:p>
        </w:tc>
      </w:tr>
      <w:tr>
        <w:trPr>
          <w:cantSplit w:val="true"/>
        </w:trPr>
        <w:tc>
          <w:tcPr>
            <w:tcW w:type="dxa" w:w="680"/>
            <w:shd w:val="clear" w:color="auto" w:fill="F3EFE6"/>
          </w:tcPr>
          <w:p>
            <w:pPr>
              <w:spacing w:after="0"/>
            </w:pPr>
            <w:r/>
            <w:r>
              <w:rPr>
                <w:b w:val="0"/>
                <w:i w:val="0"/>
                <w:sz w:val="17"/>
              </w:rPr>
              <w:t>1</w:t>
            </w:r>
          </w:p>
        </w:tc>
        <w:tc>
          <w:tcPr>
            <w:tcW w:type="dxa" w:w="3005"/>
            <w:shd w:val="clear" w:color="auto" w:fill="F3EFE6"/>
          </w:tcPr>
          <w:p>
            <w:pPr>
              <w:spacing w:after="0"/>
            </w:pPr>
            <w:r/>
            <w:r>
              <w:rPr>
                <w:b w:val="0"/>
                <w:i w:val="0"/>
                <w:sz w:val="17"/>
              </w:rPr>
              <w:t>Get the text and read the changed clauses</w:t>
            </w:r>
          </w:p>
        </w:tc>
        <w:tc>
          <w:tcPr>
            <w:tcW w:type="dxa" w:w="5953"/>
            <w:shd w:val="clear" w:color="auto" w:fill="F3EFE6"/>
          </w:tcPr>
          <w:p>
            <w:pPr>
              <w:spacing w:after="0"/>
            </w:pPr>
            <w:r/>
            <w:r>
              <w:rPr>
                <w:b w:val="0"/>
                <w:i w:val="0"/>
                <w:sz w:val="17"/>
              </w:rPr>
              <w:t>4.1, 6.1 (all five subclauses), 6.2.2, 6.3, 8.1, 9.1.1, section 10 and the definition of “indicator” in clause 3. Read the text, not a summary of it — including this one.</w:t>
            </w:r>
          </w:p>
        </w:tc>
      </w:tr>
      <w:tr>
        <w:trPr>
          <w:cantSplit w:val="true"/>
        </w:trPr>
        <w:tc>
          <w:tcPr>
            <w:tcW w:type="dxa" w:w="680"/>
          </w:tcPr>
          <w:p>
            <w:pPr>
              <w:spacing w:after="0"/>
            </w:pPr>
            <w:r/>
            <w:r>
              <w:rPr>
                <w:b w:val="0"/>
                <w:i w:val="0"/>
                <w:sz w:val="17"/>
              </w:rPr>
              <w:t>2</w:t>
            </w:r>
          </w:p>
        </w:tc>
        <w:tc>
          <w:tcPr>
            <w:tcW w:type="dxa" w:w="3005"/>
          </w:tcPr>
          <w:p>
            <w:pPr>
              <w:spacing w:after="0"/>
            </w:pPr>
            <w:r/>
            <w:r>
              <w:rPr>
                <w:b w:val="0"/>
                <w:i w:val="0"/>
                <w:sz w:val="17"/>
              </w:rPr>
              <w:t>Make a one-page gap check</w:t>
            </w:r>
          </w:p>
        </w:tc>
        <w:tc>
          <w:tcPr>
            <w:tcW w:type="dxa" w:w="5953"/>
          </w:tcPr>
          <w:p>
            <w:pPr>
              <w:spacing w:after="0"/>
            </w:pPr>
            <w:r/>
            <w:r>
              <w:rPr>
                <w:b w:val="0"/>
                <w:i w:val="0"/>
                <w:sz w:val="17"/>
              </w:rPr>
              <w:t>For each row of the table above: where your system stands today, and what — if anything — is missing. Most rows will be short.</w:t>
            </w:r>
          </w:p>
        </w:tc>
      </w:tr>
      <w:tr>
        <w:trPr>
          <w:cantSplit w:val="true"/>
        </w:trPr>
        <w:tc>
          <w:tcPr>
            <w:tcW w:type="dxa" w:w="680"/>
            <w:shd w:val="clear" w:color="auto" w:fill="F3EFE6"/>
          </w:tcPr>
          <w:p>
            <w:pPr>
              <w:spacing w:after="0"/>
            </w:pPr>
            <w:r/>
            <w:r>
              <w:rPr>
                <w:b w:val="0"/>
                <w:i w:val="0"/>
                <w:sz w:val="17"/>
              </w:rPr>
              <w:t>3</w:t>
            </w:r>
          </w:p>
        </w:tc>
        <w:tc>
          <w:tcPr>
            <w:tcW w:type="dxa" w:w="3005"/>
            <w:shd w:val="clear" w:color="auto" w:fill="F3EFE6"/>
          </w:tcPr>
          <w:p>
            <w:pPr>
              <w:spacing w:after="0"/>
            </w:pPr>
            <w:r/>
            <w:r>
              <w:rPr>
                <w:b w:val="0"/>
                <w:i w:val="0"/>
                <w:sz w:val="17"/>
              </w:rPr>
              <w:t>Update the context determination (4.1)</w:t>
            </w:r>
          </w:p>
        </w:tc>
        <w:tc>
          <w:tcPr>
            <w:tcW w:type="dxa" w:w="5953"/>
            <w:shd w:val="clear" w:color="auto" w:fill="F3EFE6"/>
          </w:tcPr>
          <w:p>
            <w:pPr>
              <w:spacing w:after="0"/>
            </w:pPr>
            <w:r/>
            <w:r>
              <w:rPr>
                <w:b w:val="0"/>
                <w:i w:val="0"/>
                <w:sz w:val="17"/>
              </w:rPr>
              <w:t>Go through the named conditions in both directions. Keep it proportionate: the length of the document is not a requirement.</w:t>
            </w:r>
          </w:p>
        </w:tc>
      </w:tr>
      <w:tr>
        <w:trPr>
          <w:cantSplit w:val="true"/>
        </w:trPr>
        <w:tc>
          <w:tcPr>
            <w:tcW w:type="dxa" w:w="680"/>
          </w:tcPr>
          <w:p>
            <w:pPr>
              <w:spacing w:after="0"/>
            </w:pPr>
            <w:r/>
            <w:r>
              <w:rPr>
                <w:b w:val="0"/>
                <w:i w:val="0"/>
                <w:sz w:val="17"/>
              </w:rPr>
              <w:t>4</w:t>
            </w:r>
          </w:p>
        </w:tc>
        <w:tc>
          <w:tcPr>
            <w:tcW w:type="dxa" w:w="3005"/>
          </w:tcPr>
          <w:p>
            <w:pPr>
              <w:spacing w:after="0"/>
            </w:pPr>
            <w:r/>
            <w:r>
              <w:rPr>
                <w:b w:val="0"/>
                <w:i w:val="0"/>
                <w:sz w:val="17"/>
              </w:rPr>
              <w:t>Separate risks and opportunities (6.1.4) from planning action (6.1.5)</w:t>
            </w:r>
          </w:p>
        </w:tc>
        <w:tc>
          <w:tcPr>
            <w:tcW w:type="dxa" w:w="5953"/>
          </w:tcPr>
          <w:p>
            <w:pPr>
              <w:spacing w:after="0"/>
            </w:pPr>
            <w:r/>
            <w:r>
              <w:rPr>
                <w:b w:val="0"/>
                <w:i w:val="0"/>
                <w:sz w:val="17"/>
              </w:rPr>
              <w:t>Often a matter of structure and references rather than new content.</w:t>
            </w:r>
          </w:p>
        </w:tc>
      </w:tr>
      <w:tr>
        <w:trPr>
          <w:cantSplit w:val="true"/>
        </w:trPr>
        <w:tc>
          <w:tcPr>
            <w:tcW w:type="dxa" w:w="680"/>
            <w:shd w:val="clear" w:color="auto" w:fill="F3EFE6"/>
          </w:tcPr>
          <w:p>
            <w:pPr>
              <w:spacing w:after="0"/>
            </w:pPr>
            <w:r/>
            <w:r>
              <w:rPr>
                <w:b w:val="0"/>
                <w:i w:val="0"/>
                <w:sz w:val="17"/>
              </w:rPr>
              <w:t>5</w:t>
            </w:r>
          </w:p>
        </w:tc>
        <w:tc>
          <w:tcPr>
            <w:tcW w:type="dxa" w:w="3005"/>
            <w:shd w:val="clear" w:color="auto" w:fill="F3EFE6"/>
          </w:tcPr>
          <w:p>
            <w:pPr>
              <w:spacing w:after="0"/>
            </w:pPr>
            <w:r/>
            <w:r>
              <w:rPr>
                <w:b w:val="0"/>
                <w:i w:val="0"/>
                <w:sz w:val="17"/>
              </w:rPr>
              <w:t>Set up the planning of changes (6.3)</w:t>
            </w:r>
          </w:p>
        </w:tc>
        <w:tc>
          <w:tcPr>
            <w:tcW w:type="dxa" w:w="5953"/>
            <w:shd w:val="clear" w:color="auto" w:fill="F3EFE6"/>
          </w:tcPr>
          <w:p>
            <w:pPr>
              <w:spacing w:after="0"/>
            </w:pPr>
            <w:r/>
            <w:r>
              <w:rPr>
                <w:b w:val="0"/>
                <w:i w:val="0"/>
                <w:sz w:val="17"/>
              </w:rPr>
              <w:t>Decide what counts as a change for your property, who plans it and where that is recorded.</w:t>
            </w:r>
          </w:p>
        </w:tc>
      </w:tr>
      <w:tr>
        <w:trPr>
          <w:cantSplit w:val="true"/>
        </w:trPr>
        <w:tc>
          <w:tcPr>
            <w:tcW w:type="dxa" w:w="680"/>
          </w:tcPr>
          <w:p>
            <w:pPr>
              <w:spacing w:after="0"/>
            </w:pPr>
            <w:r/>
            <w:r>
              <w:rPr>
                <w:b w:val="0"/>
                <w:i w:val="0"/>
                <w:sz w:val="17"/>
              </w:rPr>
              <w:t>6</w:t>
            </w:r>
          </w:p>
        </w:tc>
        <w:tc>
          <w:tcPr>
            <w:tcW w:type="dxa" w:w="3005"/>
          </w:tcPr>
          <w:p>
            <w:pPr>
              <w:spacing w:after="0"/>
            </w:pPr>
            <w:r/>
            <w:r>
              <w:rPr>
                <w:b w:val="0"/>
                <w:i w:val="0"/>
                <w:sz w:val="17"/>
              </w:rPr>
              <w:t>Review your indicators</w:t>
            </w:r>
          </w:p>
        </w:tc>
        <w:tc>
          <w:tcPr>
            <w:tcW w:type="dxa" w:w="5953"/>
          </w:tcPr>
          <w:p>
            <w:pPr>
              <w:spacing w:after="0"/>
            </w:pPr>
            <w:r/>
            <w:r>
              <w:rPr>
                <w:b w:val="0"/>
                <w:i w:val="0"/>
                <w:sz w:val="17"/>
              </w:rPr>
              <w:t>Against the definition, for the objectives and for performance evaluation.</w:t>
            </w:r>
          </w:p>
        </w:tc>
      </w:tr>
      <w:tr>
        <w:trPr>
          <w:cantSplit w:val="true"/>
        </w:trPr>
        <w:tc>
          <w:tcPr>
            <w:tcW w:type="dxa" w:w="680"/>
            <w:shd w:val="clear" w:color="auto" w:fill="F3EFE6"/>
          </w:tcPr>
          <w:p>
            <w:pPr>
              <w:spacing w:after="0"/>
            </w:pPr>
            <w:r/>
            <w:r>
              <w:rPr>
                <w:b w:val="0"/>
                <w:i w:val="0"/>
                <w:sz w:val="17"/>
              </w:rPr>
              <w:t>7</w:t>
            </w:r>
          </w:p>
        </w:tc>
        <w:tc>
          <w:tcPr>
            <w:tcW w:type="dxa" w:w="3005"/>
            <w:shd w:val="clear" w:color="auto" w:fill="F3EFE6"/>
          </w:tcPr>
          <w:p>
            <w:pPr>
              <w:spacing w:after="0"/>
            </w:pPr>
            <w:r/>
            <w:r>
              <w:rPr>
                <w:b w:val="0"/>
                <w:i w:val="0"/>
                <w:sz w:val="17"/>
              </w:rPr>
              <w:t>Update cross-references</w:t>
            </w:r>
          </w:p>
        </w:tc>
        <w:tc>
          <w:tcPr>
            <w:tcW w:type="dxa" w:w="5953"/>
            <w:shd w:val="clear" w:color="auto" w:fill="F3EFE6"/>
          </w:tcPr>
          <w:p>
            <w:pPr>
              <w:spacing w:after="0"/>
            </w:pPr>
            <w:r/>
            <w:r>
              <w:rPr>
                <w:b w:val="0"/>
                <w:i w:val="0"/>
                <w:sz w:val="17"/>
              </w:rPr>
              <w:t>Procedures, audit checklists, the management review agenda, training material.</w:t>
            </w:r>
          </w:p>
        </w:tc>
      </w:tr>
      <w:tr>
        <w:trPr>
          <w:cantSplit w:val="true"/>
        </w:trPr>
        <w:tc>
          <w:tcPr>
            <w:tcW w:type="dxa" w:w="680"/>
          </w:tcPr>
          <w:p>
            <w:pPr>
              <w:spacing w:after="0"/>
            </w:pPr>
            <w:r/>
            <w:r>
              <w:rPr>
                <w:b w:val="0"/>
                <w:i w:val="0"/>
                <w:sz w:val="17"/>
              </w:rPr>
              <w:t>8</w:t>
            </w:r>
          </w:p>
        </w:tc>
        <w:tc>
          <w:tcPr>
            <w:tcW w:type="dxa" w:w="3005"/>
          </w:tcPr>
          <w:p>
            <w:pPr>
              <w:spacing w:after="0"/>
            </w:pPr>
            <w:r/>
            <w:r>
              <w:rPr>
                <w:b w:val="0"/>
                <w:i w:val="0"/>
                <w:sz w:val="17"/>
              </w:rPr>
              <w:t>Audit and review before the transition audit</w:t>
            </w:r>
          </w:p>
        </w:tc>
        <w:tc>
          <w:tcPr>
            <w:tcW w:type="dxa" w:w="5953"/>
          </w:tcPr>
          <w:p>
            <w:pPr>
              <w:spacing w:after="0"/>
            </w:pPr>
            <w:r/>
            <w:r>
              <w:rPr>
                <w:b w:val="0"/>
                <w:i w:val="0"/>
                <w:sz w:val="17"/>
              </w:rPr>
              <w:t>Run an internal audit that covers the changes, then a management review that looks at the result.</w:t>
            </w:r>
          </w:p>
        </w:tc>
      </w:tr>
      <w:tr>
        <w:trPr>
          <w:cantSplit w:val="true"/>
        </w:trPr>
        <w:tc>
          <w:tcPr>
            <w:tcW w:type="dxa" w:w="680"/>
            <w:shd w:val="clear" w:color="auto" w:fill="F3EFE6"/>
          </w:tcPr>
          <w:p>
            <w:pPr>
              <w:spacing w:after="0"/>
            </w:pPr>
            <w:r/>
            <w:r>
              <w:rPr>
                <w:b w:val="0"/>
                <w:i w:val="0"/>
                <w:sz w:val="17"/>
              </w:rPr>
              <w:t>9</w:t>
            </w:r>
          </w:p>
        </w:tc>
        <w:tc>
          <w:tcPr>
            <w:tcW w:type="dxa" w:w="3005"/>
            <w:shd w:val="clear" w:color="auto" w:fill="F3EFE6"/>
          </w:tcPr>
          <w:p>
            <w:pPr>
              <w:spacing w:after="0"/>
            </w:pPr>
            <w:r/>
            <w:r>
              <w:rPr>
                <w:b w:val="0"/>
                <w:i w:val="0"/>
                <w:sz w:val="17"/>
              </w:rPr>
              <w:t>Agree the transition audit with your certification body</w:t>
            </w:r>
          </w:p>
        </w:tc>
        <w:tc>
          <w:tcPr>
            <w:tcW w:type="dxa" w:w="5953"/>
            <w:shd w:val="clear" w:color="auto" w:fill="F3EFE6"/>
          </w:tcPr>
          <w:p>
            <w:pPr>
              <w:spacing w:after="0"/>
            </w:pPr>
            <w:r/>
            <w:r>
              <w:rPr>
                <w:b w:val="0"/>
                <w:i w:val="0"/>
                <w:sz w:val="17"/>
              </w:rPr>
              <w:t>In good time before 30 April 2029. Ask whether it can be combined with a scheduled surveillance or recertification audit, and what its own internal deadlines are.</w:t>
            </w:r>
          </w:p>
        </w:tc>
      </w:tr>
    </w:tbl>
    <w:p>
      <w:pPr>
        <w:keepNext/>
        <w:spacing w:after="80" w:before="200"/>
      </w:pPr>
      <w:r>
        <w:rPr>
          <w:b/>
          <w:i w:val="0"/>
          <w:color w:val="9A7B2E"/>
          <w:sz w:val="26"/>
        </w:rPr>
        <w:t>4  What you do not need to buy</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515"/>
        <w:gridCol w:w="6123"/>
      </w:tblGrid>
      <w:tr>
        <w:trPr>
          <w:tblHeader w:val="true"/>
        </w:trPr>
        <w:tc>
          <w:tcPr>
            <w:tcW w:type="dxa" w:w="3515"/>
            <w:shd w:val="clear" w:color="auto" w:fill="1B2A4A"/>
          </w:tcPr>
          <w:p>
            <w:pPr>
              <w:spacing w:after="0"/>
            </w:pPr>
            <w:r/>
            <w:r>
              <w:rPr>
                <w:b/>
                <w:i w:val="0"/>
                <w:color w:val="FFFFFF"/>
                <w:sz w:val="17"/>
              </w:rPr>
              <w:t>Often offered</w:t>
            </w:r>
          </w:p>
        </w:tc>
        <w:tc>
          <w:tcPr>
            <w:tcW w:type="dxa" w:w="6123"/>
            <w:shd w:val="clear" w:color="auto" w:fill="1B2A4A"/>
          </w:tcPr>
          <w:p>
            <w:pPr>
              <w:spacing w:after="0"/>
            </w:pPr>
            <w:r/>
            <w:r>
              <w:rPr>
                <w:b/>
                <w:i w:val="0"/>
                <w:color w:val="FFFFFF"/>
                <w:sz w:val="17"/>
              </w:rPr>
              <w:t>What the standard actually says</w:t>
            </w:r>
          </w:p>
        </w:tc>
      </w:tr>
      <w:tr>
        <w:trPr>
          <w:cantSplit w:val="true"/>
        </w:trPr>
        <w:tc>
          <w:tcPr>
            <w:tcW w:type="dxa" w:w="3515"/>
            <w:shd w:val="clear" w:color="auto" w:fill="F3EFE6"/>
          </w:tcPr>
          <w:p>
            <w:pPr>
              <w:spacing w:after="0"/>
            </w:pPr>
            <w:r/>
            <w:r>
              <w:rPr>
                <w:b/>
                <w:i w:val="0"/>
                <w:sz w:val="17"/>
              </w:rPr>
              <w:t>A new environmental manual</w:t>
            </w:r>
          </w:p>
        </w:tc>
        <w:tc>
          <w:tcPr>
            <w:tcW w:type="dxa" w:w="6123"/>
            <w:shd w:val="clear" w:color="auto" w:fill="F3EFE6"/>
          </w:tcPr>
          <w:p>
            <w:pPr>
              <w:spacing w:after="0"/>
            </w:pPr>
            <w:r/>
            <w:r>
              <w:rPr>
                <w:b w:val="0"/>
                <w:i w:val="0"/>
                <w:sz w:val="17"/>
              </w:rPr>
              <w:t>The standard does not require a manual.</w:t>
            </w:r>
          </w:p>
        </w:tc>
      </w:tr>
      <w:tr>
        <w:trPr>
          <w:cantSplit w:val="true"/>
        </w:trPr>
        <w:tc>
          <w:tcPr>
            <w:tcW w:type="dxa" w:w="3515"/>
          </w:tcPr>
          <w:p>
            <w:pPr>
              <w:spacing w:after="0"/>
            </w:pPr>
            <w:r/>
            <w:r>
              <w:rPr>
                <w:b/>
                <w:i w:val="0"/>
                <w:sz w:val="17"/>
              </w:rPr>
              <w:t>A Scope 1, 2 and 3 carbon inventory</w:t>
            </w:r>
          </w:p>
        </w:tc>
        <w:tc>
          <w:tcPr>
            <w:tcW w:type="dxa" w:w="6123"/>
          </w:tcPr>
          <w:p>
            <w:pPr>
              <w:spacing w:after="0"/>
            </w:pPr>
            <w:r/>
            <w:r>
              <w:rPr>
                <w:b w:val="0"/>
                <w:i w:val="0"/>
                <w:sz w:val="17"/>
              </w:rPr>
              <w:t>ISO 14001:2026 does not prescribe one. A property may choose one for other reasons; the standard does not ask for it.</w:t>
            </w:r>
          </w:p>
        </w:tc>
      </w:tr>
      <w:tr>
        <w:trPr>
          <w:cantSplit w:val="true"/>
        </w:trPr>
        <w:tc>
          <w:tcPr>
            <w:tcW w:type="dxa" w:w="3515"/>
            <w:shd w:val="clear" w:color="auto" w:fill="F3EFE6"/>
          </w:tcPr>
          <w:p>
            <w:pPr>
              <w:spacing w:after="0"/>
            </w:pPr>
            <w:r/>
            <w:r>
              <w:rPr>
                <w:b/>
                <w:i w:val="0"/>
                <w:sz w:val="17"/>
              </w:rPr>
              <w:t>Alignment with TCFD or another external climate-reporting framework</w:t>
            </w:r>
          </w:p>
        </w:tc>
        <w:tc>
          <w:tcPr>
            <w:tcW w:type="dxa" w:w="6123"/>
            <w:shd w:val="clear" w:color="auto" w:fill="F3EFE6"/>
          </w:tcPr>
          <w:p>
            <w:pPr>
              <w:spacing w:after="0"/>
            </w:pPr>
            <w:r/>
            <w:r>
              <w:rPr>
                <w:b w:val="0"/>
                <w:i w:val="0"/>
                <w:sz w:val="17"/>
              </w:rPr>
              <w:t>The standard does not prescribe alignment with any external reporting framework.</w:t>
            </w:r>
          </w:p>
        </w:tc>
      </w:tr>
      <w:tr>
        <w:trPr>
          <w:cantSplit w:val="true"/>
        </w:trPr>
        <w:tc>
          <w:tcPr>
            <w:tcW w:type="dxa" w:w="3515"/>
          </w:tcPr>
          <w:p>
            <w:pPr>
              <w:spacing w:after="0"/>
            </w:pPr>
            <w:r/>
            <w:r>
              <w:rPr>
                <w:b/>
                <w:i w:val="0"/>
                <w:sz w:val="17"/>
              </w:rPr>
              <w:t>A climate risk study of a set length</w:t>
            </w:r>
          </w:p>
        </w:tc>
        <w:tc>
          <w:tcPr>
            <w:tcW w:type="dxa" w:w="6123"/>
          </w:tcPr>
          <w:p>
            <w:pPr>
              <w:spacing w:after="0"/>
            </w:pPr>
            <w:r/>
            <w:r>
              <w:rPr>
                <w:b w:val="0"/>
                <w:i w:val="0"/>
                <w:sz w:val="17"/>
              </w:rPr>
              <w:t>The 4.1 determination has to be adequate for the property, not of a particular size.</w:t>
            </w:r>
          </w:p>
        </w:tc>
      </w:tr>
      <w:tr>
        <w:trPr>
          <w:cantSplit w:val="true"/>
        </w:trPr>
        <w:tc>
          <w:tcPr>
            <w:tcW w:type="dxa" w:w="3515"/>
            <w:shd w:val="clear" w:color="auto" w:fill="F3EFE6"/>
          </w:tcPr>
          <w:p>
            <w:pPr>
              <w:spacing w:after="0"/>
            </w:pPr>
            <w:r/>
            <w:r>
              <w:rPr>
                <w:b/>
                <w:i w:val="0"/>
                <w:sz w:val="17"/>
              </w:rPr>
              <w:t>A formal ecological survey for biodiversity</w:t>
            </w:r>
          </w:p>
        </w:tc>
        <w:tc>
          <w:tcPr>
            <w:tcW w:type="dxa" w:w="6123"/>
            <w:shd w:val="clear" w:color="auto" w:fill="F3EFE6"/>
          </w:tcPr>
          <w:p>
            <w:pPr>
              <w:spacing w:after="0"/>
            </w:pPr>
            <w:r/>
            <w:r>
              <w:rPr>
                <w:b w:val="0"/>
                <w:i w:val="0"/>
                <w:sz w:val="17"/>
              </w:rPr>
              <w:t>Biodiversity is one of the named conditions to consider; the standard does not prescribe a survey method.</w:t>
            </w:r>
          </w:p>
        </w:tc>
      </w:tr>
      <w:tr>
        <w:trPr>
          <w:cantSplit w:val="true"/>
        </w:trPr>
        <w:tc>
          <w:tcPr>
            <w:tcW w:type="dxa" w:w="3515"/>
          </w:tcPr>
          <w:p>
            <w:pPr>
              <w:spacing w:after="0"/>
            </w:pPr>
            <w:r/>
            <w:r>
              <w:rPr>
                <w:b/>
                <w:i w:val="0"/>
                <w:sz w:val="17"/>
              </w:rPr>
              <w:t>Software or a dashboard platform</w:t>
            </w:r>
          </w:p>
        </w:tc>
        <w:tc>
          <w:tcPr>
            <w:tcW w:type="dxa" w:w="6123"/>
          </w:tcPr>
          <w:p>
            <w:pPr>
              <w:spacing w:after="0"/>
            </w:pPr>
            <w:r/>
            <w:r>
              <w:rPr>
                <w:b w:val="0"/>
                <w:i w:val="0"/>
                <w:sz w:val="17"/>
              </w:rPr>
              <w:t>No tool is prescribed. A spreadsheet that can show a trend meets the purpose as well as a platform.</w:t>
            </w:r>
          </w:p>
        </w:tc>
      </w:tr>
    </w:tbl>
    <w:p>
      <w:pPr>
        <w:spacing w:after="80" w:before="80"/>
      </w:pPr>
      <w:r>
        <w:rPr>
          <w:b w:val="0"/>
          <w:i/>
          <w:sz w:val="19"/>
        </w:rPr>
        <w:t>The one thing worth having is the text of ISO 14001:2026 itself: it is the only document against which any of these claims can be checked.</w:t>
      </w:r>
    </w:p>
    <w:p>
      <w:pPr>
        <w:keepNext/>
        <w:spacing w:after="80" w:before="200"/>
      </w:pPr>
      <w:r>
        <w:rPr>
          <w:b/>
          <w:i w:val="0"/>
          <w:color w:val="9A7B2E"/>
          <w:sz w:val="26"/>
        </w:rPr>
        <w:t>5  The accreditation timetable</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041"/>
        <w:gridCol w:w="5103"/>
        <w:gridCol w:w="2494"/>
      </w:tblGrid>
      <w:tr>
        <w:trPr>
          <w:tblHeader w:val="true"/>
        </w:trPr>
        <w:tc>
          <w:tcPr>
            <w:tcW w:type="dxa" w:w="2041"/>
            <w:shd w:val="clear" w:color="auto" w:fill="1B2A4A"/>
          </w:tcPr>
          <w:p>
            <w:pPr>
              <w:spacing w:after="0"/>
            </w:pPr>
            <w:r/>
            <w:r>
              <w:rPr>
                <w:b/>
                <w:i w:val="0"/>
                <w:color w:val="FFFFFF"/>
                <w:sz w:val="17"/>
              </w:rPr>
              <w:t>Date</w:t>
            </w:r>
          </w:p>
        </w:tc>
        <w:tc>
          <w:tcPr>
            <w:tcW w:type="dxa" w:w="5102"/>
            <w:shd w:val="clear" w:color="auto" w:fill="1B2A4A"/>
          </w:tcPr>
          <w:p>
            <w:pPr>
              <w:spacing w:after="0"/>
            </w:pPr>
            <w:r/>
            <w:r>
              <w:rPr>
                <w:b/>
                <w:i w:val="0"/>
                <w:color w:val="FFFFFF"/>
                <w:sz w:val="17"/>
              </w:rPr>
              <w:t>Milestone</w:t>
            </w:r>
          </w:p>
        </w:tc>
        <w:tc>
          <w:tcPr>
            <w:tcW w:type="dxa" w:w="2494"/>
            <w:shd w:val="clear" w:color="auto" w:fill="1B2A4A"/>
          </w:tcPr>
          <w:p>
            <w:pPr>
              <w:spacing w:after="0"/>
            </w:pPr>
            <w:r/>
            <w:r>
              <w:rPr>
                <w:b/>
                <w:i w:val="0"/>
                <w:color w:val="FFFFFF"/>
                <w:sz w:val="17"/>
              </w:rPr>
              <w:t>Whom it binds</w:t>
            </w:r>
          </w:p>
        </w:tc>
      </w:tr>
      <w:tr>
        <w:trPr>
          <w:cantSplit w:val="true"/>
        </w:trPr>
        <w:tc>
          <w:tcPr>
            <w:tcW w:type="dxa" w:w="2041"/>
            <w:shd w:val="clear" w:color="auto" w:fill="F3EFE6"/>
          </w:tcPr>
          <w:p>
            <w:pPr>
              <w:spacing w:after="0"/>
            </w:pPr>
            <w:r/>
            <w:r>
              <w:rPr>
                <w:b/>
                <w:i w:val="0"/>
                <w:sz w:val="17"/>
              </w:rPr>
              <w:t>31 October 2026</w:t>
            </w:r>
          </w:p>
        </w:tc>
        <w:tc>
          <w:tcPr>
            <w:tcW w:type="dxa" w:w="5102"/>
            <w:shd w:val="clear" w:color="auto" w:fill="F3EFE6"/>
          </w:tcPr>
          <w:p>
            <w:pPr>
              <w:spacing w:after="0"/>
            </w:pPr>
            <w:r/>
            <w:r>
              <w:rPr>
                <w:b w:val="0"/>
                <w:i w:val="0"/>
                <w:sz w:val="17"/>
              </w:rPr>
              <w:t>Accreditation bodies ready for the transition to ISO 14001:2026</w:t>
            </w:r>
          </w:p>
        </w:tc>
        <w:tc>
          <w:tcPr>
            <w:tcW w:type="dxa" w:w="2494"/>
            <w:shd w:val="clear" w:color="auto" w:fill="F3EFE6"/>
          </w:tcPr>
          <w:p>
            <w:pPr>
              <w:spacing w:after="0"/>
            </w:pPr>
            <w:r/>
            <w:r>
              <w:rPr>
                <w:b w:val="0"/>
                <w:i w:val="0"/>
                <w:sz w:val="17"/>
              </w:rPr>
              <w:t>Accreditation bodies</w:t>
            </w:r>
          </w:p>
        </w:tc>
      </w:tr>
      <w:tr>
        <w:trPr>
          <w:cantSplit w:val="true"/>
        </w:trPr>
        <w:tc>
          <w:tcPr>
            <w:tcW w:type="dxa" w:w="2041"/>
          </w:tcPr>
          <w:p>
            <w:pPr>
              <w:spacing w:after="0"/>
            </w:pPr>
            <w:r/>
            <w:r>
              <w:rPr>
                <w:b/>
                <w:i w:val="0"/>
                <w:sz w:val="17"/>
              </w:rPr>
              <w:t>31 January 2027</w:t>
            </w:r>
          </w:p>
        </w:tc>
        <w:tc>
          <w:tcPr>
            <w:tcW w:type="dxa" w:w="5102"/>
          </w:tcPr>
          <w:p>
            <w:pPr>
              <w:spacing w:after="0"/>
            </w:pPr>
            <w:r/>
            <w:r>
              <w:rPr>
                <w:b w:val="0"/>
                <w:i w:val="0"/>
                <w:sz w:val="17"/>
              </w:rPr>
              <w:t>Certification bodies’ transition declaration</w:t>
            </w:r>
          </w:p>
        </w:tc>
        <w:tc>
          <w:tcPr>
            <w:tcW w:type="dxa" w:w="2494"/>
          </w:tcPr>
          <w:p>
            <w:pPr>
              <w:spacing w:after="0"/>
            </w:pPr>
            <w:r/>
            <w:r>
              <w:rPr>
                <w:b w:val="0"/>
                <w:i w:val="0"/>
                <w:sz w:val="17"/>
              </w:rPr>
              <w:t>Accredited certification bodies</w:t>
            </w:r>
          </w:p>
        </w:tc>
      </w:tr>
      <w:tr>
        <w:trPr>
          <w:cantSplit w:val="true"/>
        </w:trPr>
        <w:tc>
          <w:tcPr>
            <w:tcW w:type="dxa" w:w="2041"/>
            <w:shd w:val="clear" w:color="auto" w:fill="F3EFE6"/>
          </w:tcPr>
          <w:p>
            <w:pPr>
              <w:spacing w:after="0"/>
            </w:pPr>
            <w:r/>
            <w:r>
              <w:rPr>
                <w:b/>
                <w:i w:val="0"/>
                <w:sz w:val="17"/>
              </w:rPr>
              <w:t>30 April 2027</w:t>
            </w:r>
          </w:p>
        </w:tc>
        <w:tc>
          <w:tcPr>
            <w:tcW w:type="dxa" w:w="5102"/>
            <w:shd w:val="clear" w:color="auto" w:fill="F3EFE6"/>
          </w:tcPr>
          <w:p>
            <w:pPr>
              <w:spacing w:after="0"/>
            </w:pPr>
            <w:r/>
            <w:r>
              <w:rPr>
                <w:b w:val="0"/>
                <w:i w:val="0"/>
                <w:sz w:val="17"/>
              </w:rPr>
              <w:t>Accreditation transition decisions completed</w:t>
            </w:r>
          </w:p>
        </w:tc>
        <w:tc>
          <w:tcPr>
            <w:tcW w:type="dxa" w:w="2494"/>
            <w:shd w:val="clear" w:color="auto" w:fill="F3EFE6"/>
          </w:tcPr>
          <w:p>
            <w:pPr>
              <w:spacing w:after="0"/>
            </w:pPr>
            <w:r/>
            <w:r>
              <w:rPr>
                <w:b w:val="0"/>
                <w:i w:val="0"/>
                <w:sz w:val="17"/>
              </w:rPr>
              <w:t>Accreditation bodies</w:t>
            </w:r>
          </w:p>
        </w:tc>
      </w:tr>
      <w:tr>
        <w:trPr>
          <w:cantSplit w:val="true"/>
        </w:trPr>
        <w:tc>
          <w:tcPr>
            <w:tcW w:type="dxa" w:w="2041"/>
          </w:tcPr>
          <w:p>
            <w:pPr>
              <w:spacing w:after="0"/>
            </w:pPr>
            <w:r/>
            <w:r>
              <w:rPr>
                <w:b/>
                <w:i w:val="0"/>
                <w:sz w:val="17"/>
              </w:rPr>
              <w:t>After 31 October 2027</w:t>
            </w:r>
          </w:p>
        </w:tc>
        <w:tc>
          <w:tcPr>
            <w:tcW w:type="dxa" w:w="5102"/>
          </w:tcPr>
          <w:p>
            <w:pPr>
              <w:spacing w:after="0"/>
            </w:pPr>
            <w:r/>
            <w:r>
              <w:rPr>
                <w:b w:val="0"/>
                <w:i w:val="0"/>
                <w:sz w:val="17"/>
              </w:rPr>
              <w:t>New initial certifications only to ISO 14001:2026</w:t>
            </w:r>
          </w:p>
        </w:tc>
        <w:tc>
          <w:tcPr>
            <w:tcW w:type="dxa" w:w="2494"/>
          </w:tcPr>
          <w:p>
            <w:pPr>
              <w:spacing w:after="0"/>
            </w:pPr>
            <w:r/>
            <w:r>
              <w:rPr>
                <w:b w:val="0"/>
                <w:i w:val="0"/>
                <w:sz w:val="17"/>
              </w:rPr>
              <w:t>Accredited certification bodies</w:t>
            </w:r>
          </w:p>
        </w:tc>
      </w:tr>
      <w:tr>
        <w:trPr>
          <w:cantSplit w:val="true"/>
        </w:trPr>
        <w:tc>
          <w:tcPr>
            <w:tcW w:type="dxa" w:w="2041"/>
            <w:shd w:val="clear" w:color="auto" w:fill="F3EFE6"/>
          </w:tcPr>
          <w:p>
            <w:pPr>
              <w:spacing w:after="0"/>
            </w:pPr>
            <w:r/>
            <w:r>
              <w:rPr>
                <w:b/>
                <w:i w:val="0"/>
                <w:sz w:val="17"/>
              </w:rPr>
              <w:t>30 April 2029</w:t>
            </w:r>
          </w:p>
        </w:tc>
        <w:tc>
          <w:tcPr>
            <w:tcW w:type="dxa" w:w="5102"/>
            <w:shd w:val="clear" w:color="auto" w:fill="F3EFE6"/>
          </w:tcPr>
          <w:p>
            <w:pPr>
              <w:spacing w:after="0"/>
            </w:pPr>
            <w:r/>
            <w:r>
              <w:rPr>
                <w:b w:val="0"/>
                <w:i w:val="0"/>
                <w:sz w:val="17"/>
              </w:rPr>
              <w:t>Transition of certified clients completed, including issue of the certificate</w:t>
            </w:r>
          </w:p>
        </w:tc>
        <w:tc>
          <w:tcPr>
            <w:tcW w:type="dxa" w:w="2494"/>
            <w:shd w:val="clear" w:color="auto" w:fill="F3EFE6"/>
          </w:tcPr>
          <w:p>
            <w:pPr>
              <w:spacing w:after="0"/>
            </w:pPr>
            <w:r/>
            <w:r>
              <w:rPr>
                <w:b w:val="0"/>
                <w:i w:val="0"/>
                <w:sz w:val="17"/>
              </w:rPr>
              <w:t>Accredited certification bodies</w:t>
            </w:r>
          </w:p>
        </w:tc>
      </w:tr>
    </w:tbl>
    <w:p>
      <w:pPr>
        <w:spacing w:after="4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WHO THESE DATES BIND</w:t>
            </w:r>
          </w:p>
          <w:p>
            <w:pPr>
              <w:spacing w:after="40"/>
            </w:pPr>
            <w:r>
              <w:rPr>
                <w:i w:val="0"/>
                <w:color w:val="1B2A4A"/>
                <w:sz w:val="19"/>
              </w:rPr>
              <w:t>Source: Global ACI-TECH-3-TR 2029-04-30 (M), version 1.0, issued 4 September 2026, applicable from 14 September 2026.</w:t>
            </w:r>
          </w:p>
          <w:p>
            <w:pPr>
              <w:spacing w:after="40"/>
            </w:pPr>
            <w:r>
              <w:rPr>
                <w:i w:val="0"/>
                <w:color w:val="1B2A4A"/>
                <w:sz w:val="19"/>
              </w:rPr>
              <w:t>These dates bind accreditation bodies and accredited certification bodies. No law obliges a hotel to be certified to ISO 14001, and these dates do not create one. For a certified hotel they matter through its certificate: by 30 April 2029 the transition audit must be done and the 2026 certificate issued. Your certification body may set earlier internal dates — ask it.</w:t>
            </w:r>
          </w:p>
        </w:tc>
      </w:tr>
    </w:tbl>
    <w:p>
      <w:pPr>
        <w:spacing w:after="40"/>
      </w:pPr>
    </w:p>
    <w:p>
      <w:pPr>
        <w:keepNext/>
        <w:spacing w:after="80" w:before="200"/>
      </w:pPr>
      <w:r>
        <w:rPr>
          <w:b/>
          <w:i w:val="0"/>
          <w:color w:val="9A7B2E"/>
          <w:sz w:val="26"/>
        </w:rPr>
        <w:t>6  Where the book covers each topic</w:t>
      </w:r>
    </w:p>
    <w:p>
      <w:pPr>
        <w:keepNext/>
        <w:spacing w:after="80" w:before="0"/>
      </w:pPr>
      <w:r>
        <w:rPr>
          <w:b w:val="0"/>
          <w:i/>
          <w:color w:val="5A5A5A"/>
          <w:sz w:val="18"/>
        </w:rPr>
        <w:t>By subchapter, without page numbers, so that the table stays valid across printings.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969"/>
        <w:gridCol w:w="1474"/>
        <w:gridCol w:w="4195"/>
      </w:tblGrid>
      <w:tr>
        <w:trPr>
          <w:tblHeader w:val="true"/>
        </w:trPr>
        <w:tc>
          <w:tcPr>
            <w:tcW w:type="dxa" w:w="3969"/>
            <w:shd w:val="clear" w:color="auto" w:fill="1B2A4A"/>
          </w:tcPr>
          <w:p>
            <w:pPr>
              <w:spacing w:after="0"/>
            </w:pPr>
            <w:r/>
            <w:r>
              <w:rPr>
                <w:b/>
                <w:i w:val="0"/>
                <w:color w:val="FFFFFF"/>
                <w:sz w:val="17"/>
              </w:rPr>
              <w:t>Topic</w:t>
            </w:r>
          </w:p>
        </w:tc>
        <w:tc>
          <w:tcPr>
            <w:tcW w:type="dxa" w:w="1474"/>
            <w:shd w:val="clear" w:color="auto" w:fill="1B2A4A"/>
          </w:tcPr>
          <w:p>
            <w:pPr>
              <w:spacing w:after="0"/>
            </w:pPr>
            <w:r/>
            <w:r>
              <w:rPr>
                <w:b/>
                <w:i w:val="0"/>
                <w:color w:val="FFFFFF"/>
                <w:sz w:val="17"/>
              </w:rPr>
              <w:t>Clause</w:t>
            </w:r>
          </w:p>
        </w:tc>
        <w:tc>
          <w:tcPr>
            <w:tcW w:type="dxa" w:w="4195"/>
            <w:shd w:val="clear" w:color="auto" w:fill="1B2A4A"/>
          </w:tcPr>
          <w:p>
            <w:pPr>
              <w:spacing w:after="0"/>
            </w:pPr>
            <w:r/>
            <w:r>
              <w:rPr>
                <w:b/>
                <w:i w:val="0"/>
                <w:color w:val="FFFFFF"/>
                <w:sz w:val="17"/>
              </w:rPr>
              <w:t>Volume 1a</w:t>
            </w:r>
          </w:p>
        </w:tc>
      </w:tr>
      <w:tr>
        <w:trPr>
          <w:cantSplit w:val="true"/>
        </w:trPr>
        <w:tc>
          <w:tcPr>
            <w:tcW w:type="dxa" w:w="3969"/>
            <w:shd w:val="clear" w:color="auto" w:fill="F3EFE6"/>
          </w:tcPr>
          <w:p>
            <w:pPr>
              <w:spacing w:after="0"/>
            </w:pPr>
            <w:r/>
            <w:r>
              <w:rPr>
                <w:b w:val="0"/>
                <w:i w:val="0"/>
                <w:sz w:val="17"/>
              </w:rPr>
              <w:t>Context and the named environmental conditions</w:t>
            </w:r>
          </w:p>
        </w:tc>
        <w:tc>
          <w:tcPr>
            <w:tcW w:type="dxa" w:w="1474"/>
            <w:shd w:val="clear" w:color="auto" w:fill="F3EFE6"/>
          </w:tcPr>
          <w:p>
            <w:pPr>
              <w:spacing w:after="0"/>
            </w:pPr>
            <w:r/>
            <w:r>
              <w:rPr>
                <w:b w:val="0"/>
                <w:i w:val="0"/>
                <w:sz w:val="17"/>
              </w:rPr>
              <w:t>4.1</w:t>
            </w:r>
          </w:p>
        </w:tc>
        <w:tc>
          <w:tcPr>
            <w:tcW w:type="dxa" w:w="4195"/>
            <w:shd w:val="clear" w:color="auto" w:fill="F3EFE6"/>
          </w:tcPr>
          <w:p>
            <w:pPr>
              <w:spacing w:after="0"/>
            </w:pPr>
            <w:r/>
            <w:r>
              <w:rPr>
                <w:b w:val="0"/>
                <w:i w:val="0"/>
                <w:sz w:val="17"/>
              </w:rPr>
              <w:t>1.2; 1.14</w:t>
            </w:r>
          </w:p>
        </w:tc>
      </w:tr>
      <w:tr>
        <w:trPr>
          <w:cantSplit w:val="true"/>
        </w:trPr>
        <w:tc>
          <w:tcPr>
            <w:tcW w:type="dxa" w:w="3969"/>
          </w:tcPr>
          <w:p>
            <w:pPr>
              <w:spacing w:after="0"/>
            </w:pPr>
            <w:r/>
            <w:r>
              <w:rPr>
                <w:b w:val="0"/>
                <w:i w:val="0"/>
                <w:sz w:val="17"/>
              </w:rPr>
              <w:t>Interested parties and their link to environmental conditions</w:t>
            </w:r>
          </w:p>
        </w:tc>
        <w:tc>
          <w:tcPr>
            <w:tcW w:type="dxa" w:w="1474"/>
          </w:tcPr>
          <w:p>
            <w:pPr>
              <w:spacing w:after="0"/>
            </w:pPr>
            <w:r/>
            <w:r>
              <w:rPr>
                <w:b w:val="0"/>
                <w:i w:val="0"/>
                <w:sz w:val="17"/>
              </w:rPr>
              <w:t>4.2</w:t>
            </w:r>
          </w:p>
        </w:tc>
        <w:tc>
          <w:tcPr>
            <w:tcW w:type="dxa" w:w="4195"/>
          </w:tcPr>
          <w:p>
            <w:pPr>
              <w:spacing w:after="0"/>
            </w:pPr>
            <w:r/>
            <w:r>
              <w:rPr>
                <w:b w:val="0"/>
                <w:i w:val="0"/>
                <w:sz w:val="17"/>
              </w:rPr>
              <w:t>1.3; 1.14</w:t>
            </w:r>
          </w:p>
        </w:tc>
      </w:tr>
      <w:tr>
        <w:trPr>
          <w:cantSplit w:val="true"/>
        </w:trPr>
        <w:tc>
          <w:tcPr>
            <w:tcW w:type="dxa" w:w="3969"/>
            <w:shd w:val="clear" w:color="auto" w:fill="F3EFE6"/>
          </w:tcPr>
          <w:p>
            <w:pPr>
              <w:spacing w:after="0"/>
            </w:pPr>
            <w:r/>
            <w:r>
              <w:rPr>
                <w:b w:val="0"/>
                <w:i w:val="0"/>
                <w:sz w:val="17"/>
              </w:rPr>
              <w:t>Risks and opportunities; planning action</w:t>
            </w:r>
          </w:p>
        </w:tc>
        <w:tc>
          <w:tcPr>
            <w:tcW w:type="dxa" w:w="1474"/>
            <w:shd w:val="clear" w:color="auto" w:fill="F3EFE6"/>
          </w:tcPr>
          <w:p>
            <w:pPr>
              <w:spacing w:after="0"/>
            </w:pPr>
            <w:r/>
            <w:r>
              <w:rPr>
                <w:b w:val="0"/>
                <w:i w:val="0"/>
                <w:sz w:val="17"/>
              </w:rPr>
              <w:t>6.1.4; 6.1.5</w:t>
            </w:r>
          </w:p>
        </w:tc>
        <w:tc>
          <w:tcPr>
            <w:tcW w:type="dxa" w:w="4195"/>
            <w:shd w:val="clear" w:color="auto" w:fill="F3EFE6"/>
          </w:tcPr>
          <w:p>
            <w:pPr>
              <w:spacing w:after="0"/>
            </w:pPr>
            <w:r/>
            <w:r>
              <w:rPr>
                <w:b w:val="0"/>
                <w:i w:val="0"/>
                <w:sz w:val="17"/>
              </w:rPr>
              <w:t>1.8 (also 1.2, 1.3, 1.10, 1.14)</w:t>
            </w:r>
          </w:p>
        </w:tc>
      </w:tr>
      <w:tr>
        <w:trPr>
          <w:cantSplit w:val="true"/>
        </w:trPr>
        <w:tc>
          <w:tcPr>
            <w:tcW w:type="dxa" w:w="3969"/>
          </w:tcPr>
          <w:p>
            <w:pPr>
              <w:spacing w:after="0"/>
            </w:pPr>
            <w:r/>
            <w:r>
              <w:rPr>
                <w:b w:val="0"/>
                <w:i w:val="0"/>
                <w:sz w:val="17"/>
              </w:rPr>
              <w:t>Objectives and how their results are evaluated</w:t>
            </w:r>
          </w:p>
        </w:tc>
        <w:tc>
          <w:tcPr>
            <w:tcW w:type="dxa" w:w="1474"/>
          </w:tcPr>
          <w:p>
            <w:pPr>
              <w:spacing w:after="0"/>
            </w:pPr>
            <w:r/>
            <w:r>
              <w:rPr>
                <w:b w:val="0"/>
                <w:i w:val="0"/>
                <w:sz w:val="17"/>
              </w:rPr>
              <w:t>6.2.1; 6.2.2</w:t>
            </w:r>
          </w:p>
        </w:tc>
        <w:tc>
          <w:tcPr>
            <w:tcW w:type="dxa" w:w="4195"/>
          </w:tcPr>
          <w:p>
            <w:pPr>
              <w:spacing w:after="0"/>
            </w:pPr>
            <w:r/>
            <w:r>
              <w:rPr>
                <w:b w:val="0"/>
                <w:i w:val="0"/>
                <w:sz w:val="17"/>
              </w:rPr>
              <w:t>1.11; 1.12</w:t>
            </w:r>
          </w:p>
        </w:tc>
      </w:tr>
      <w:tr>
        <w:trPr>
          <w:cantSplit w:val="true"/>
        </w:trPr>
        <w:tc>
          <w:tcPr>
            <w:tcW w:type="dxa" w:w="3969"/>
            <w:shd w:val="clear" w:color="auto" w:fill="F3EFE6"/>
          </w:tcPr>
          <w:p>
            <w:pPr>
              <w:spacing w:after="0"/>
            </w:pPr>
            <w:r/>
            <w:r>
              <w:rPr>
                <w:b w:val="0"/>
                <w:i w:val="0"/>
                <w:sz w:val="17"/>
              </w:rPr>
              <w:t>Planning of changes</w:t>
            </w:r>
          </w:p>
        </w:tc>
        <w:tc>
          <w:tcPr>
            <w:tcW w:type="dxa" w:w="1474"/>
            <w:shd w:val="clear" w:color="auto" w:fill="F3EFE6"/>
          </w:tcPr>
          <w:p>
            <w:pPr>
              <w:spacing w:after="0"/>
            </w:pPr>
            <w:r/>
            <w:r>
              <w:rPr>
                <w:b w:val="0"/>
                <w:i w:val="0"/>
                <w:sz w:val="17"/>
              </w:rPr>
              <w:t>6.3</w:t>
            </w:r>
          </w:p>
        </w:tc>
        <w:tc>
          <w:tcPr>
            <w:tcW w:type="dxa" w:w="4195"/>
            <w:shd w:val="clear" w:color="auto" w:fill="F3EFE6"/>
          </w:tcPr>
          <w:p>
            <w:pPr>
              <w:spacing w:after="0"/>
            </w:pPr>
            <w:r/>
            <w:r>
              <w:rPr>
                <w:b w:val="0"/>
                <w:i w:val="0"/>
                <w:sz w:val="17"/>
              </w:rPr>
              <w:t>Appendix A</w:t>
            </w:r>
          </w:p>
        </w:tc>
      </w:tr>
      <w:tr>
        <w:trPr>
          <w:cantSplit w:val="true"/>
        </w:trPr>
        <w:tc>
          <w:tcPr>
            <w:tcW w:type="dxa" w:w="3969"/>
          </w:tcPr>
          <w:p>
            <w:pPr>
              <w:spacing w:after="0"/>
            </w:pPr>
            <w:r/>
            <w:r>
              <w:rPr>
                <w:b w:val="0"/>
                <w:i w:val="0"/>
                <w:sz w:val="17"/>
              </w:rPr>
              <w:t>Operational control</w:t>
            </w:r>
          </w:p>
        </w:tc>
        <w:tc>
          <w:tcPr>
            <w:tcW w:type="dxa" w:w="1474"/>
          </w:tcPr>
          <w:p>
            <w:pPr>
              <w:spacing w:after="0"/>
            </w:pPr>
            <w:r/>
            <w:r>
              <w:rPr>
                <w:b w:val="0"/>
                <w:i w:val="0"/>
                <w:sz w:val="17"/>
              </w:rPr>
              <w:t>8.1</w:t>
            </w:r>
          </w:p>
        </w:tc>
        <w:tc>
          <w:tcPr>
            <w:tcW w:type="dxa" w:w="4195"/>
          </w:tcPr>
          <w:p>
            <w:pPr>
              <w:spacing w:after="0"/>
            </w:pPr>
            <w:r/>
            <w:r>
              <w:rPr>
                <w:b w:val="0"/>
                <w:i w:val="0"/>
                <w:sz w:val="17"/>
              </w:rPr>
              <w:t>2.6; 2.7; 2.8 (the hierarchy-of-controls note itself is not discussed in the book)</w:t>
            </w:r>
          </w:p>
        </w:tc>
      </w:tr>
      <w:tr>
        <w:trPr>
          <w:cantSplit w:val="true"/>
        </w:trPr>
        <w:tc>
          <w:tcPr>
            <w:tcW w:type="dxa" w:w="3969"/>
            <w:shd w:val="clear" w:color="auto" w:fill="F3EFE6"/>
          </w:tcPr>
          <w:p>
            <w:pPr>
              <w:spacing w:after="0"/>
            </w:pPr>
            <w:r/>
            <w:r>
              <w:rPr>
                <w:b w:val="0"/>
                <w:i w:val="0"/>
                <w:sz w:val="17"/>
              </w:rPr>
              <w:t>Indicators and performance evaluation</w:t>
            </w:r>
          </w:p>
        </w:tc>
        <w:tc>
          <w:tcPr>
            <w:tcW w:type="dxa" w:w="1474"/>
            <w:shd w:val="clear" w:color="auto" w:fill="F3EFE6"/>
          </w:tcPr>
          <w:p>
            <w:pPr>
              <w:spacing w:after="0"/>
            </w:pPr>
            <w:r/>
            <w:r>
              <w:rPr>
                <w:b w:val="0"/>
                <w:i w:val="0"/>
                <w:sz w:val="17"/>
              </w:rPr>
              <w:t>9.1.1</w:t>
            </w:r>
          </w:p>
        </w:tc>
        <w:tc>
          <w:tcPr>
            <w:tcW w:type="dxa" w:w="4195"/>
            <w:shd w:val="clear" w:color="auto" w:fill="F3EFE6"/>
          </w:tcPr>
          <w:p>
            <w:pPr>
              <w:spacing w:after="0"/>
            </w:pPr>
            <w:r/>
            <w:r>
              <w:rPr>
                <w:b w:val="0"/>
                <w:i w:val="0"/>
                <w:sz w:val="17"/>
              </w:rPr>
              <w:t>2.12</w:t>
            </w:r>
          </w:p>
        </w:tc>
      </w:tr>
      <w:tr>
        <w:trPr>
          <w:cantSplit w:val="true"/>
        </w:trPr>
        <w:tc>
          <w:tcPr>
            <w:tcW w:type="dxa" w:w="3969"/>
          </w:tcPr>
          <w:p>
            <w:pPr>
              <w:spacing w:after="0"/>
            </w:pPr>
            <w:r/>
            <w:r>
              <w:rPr>
                <w:b w:val="0"/>
                <w:i w:val="0"/>
                <w:sz w:val="17"/>
              </w:rPr>
              <w:t>Management review</w:t>
            </w:r>
          </w:p>
        </w:tc>
        <w:tc>
          <w:tcPr>
            <w:tcW w:type="dxa" w:w="1474"/>
          </w:tcPr>
          <w:p>
            <w:pPr>
              <w:spacing w:after="0"/>
            </w:pPr>
            <w:r/>
            <w:r>
              <w:rPr>
                <w:b w:val="0"/>
                <w:i w:val="0"/>
                <w:sz w:val="17"/>
              </w:rPr>
              <w:t>9.3</w:t>
            </w:r>
          </w:p>
        </w:tc>
        <w:tc>
          <w:tcPr>
            <w:tcW w:type="dxa" w:w="4195"/>
          </w:tcPr>
          <w:p>
            <w:pPr>
              <w:spacing w:after="0"/>
            </w:pPr>
            <w:r/>
            <w:r>
              <w:rPr>
                <w:b w:val="0"/>
                <w:i w:val="0"/>
                <w:sz w:val="17"/>
              </w:rPr>
              <w:t>2.13</w:t>
            </w:r>
          </w:p>
        </w:tc>
      </w:tr>
      <w:tr>
        <w:trPr>
          <w:cantSplit w:val="true"/>
        </w:trPr>
        <w:tc>
          <w:tcPr>
            <w:tcW w:type="dxa" w:w="3969"/>
            <w:shd w:val="clear" w:color="auto" w:fill="F3EFE6"/>
          </w:tcPr>
          <w:p>
            <w:pPr>
              <w:spacing w:after="0"/>
            </w:pPr>
            <w:r/>
            <w:r>
              <w:rPr>
                <w:b w:val="0"/>
                <w:i w:val="0"/>
                <w:sz w:val="17"/>
              </w:rPr>
              <w:t>Nonconformity and corrective action</w:t>
            </w:r>
          </w:p>
        </w:tc>
        <w:tc>
          <w:tcPr>
            <w:tcW w:type="dxa" w:w="1474"/>
            <w:shd w:val="clear" w:color="auto" w:fill="F3EFE6"/>
          </w:tcPr>
          <w:p>
            <w:pPr>
              <w:spacing w:after="0"/>
            </w:pPr>
            <w:r/>
            <w:r>
              <w:rPr>
                <w:b w:val="0"/>
                <w:i w:val="0"/>
                <w:sz w:val="17"/>
              </w:rPr>
              <w:t>10.2</w:t>
            </w:r>
          </w:p>
        </w:tc>
        <w:tc>
          <w:tcPr>
            <w:tcW w:type="dxa" w:w="4195"/>
            <w:shd w:val="clear" w:color="auto" w:fill="F3EFE6"/>
          </w:tcPr>
          <w:p>
            <w:pPr>
              <w:spacing w:after="0"/>
            </w:pPr>
            <w:r/>
            <w:r>
              <w:rPr>
                <w:b w:val="0"/>
                <w:i w:val="0"/>
                <w:sz w:val="17"/>
              </w:rPr>
              <w:t>2.14</w:t>
            </w:r>
          </w:p>
        </w:tc>
      </w:tr>
      <w:tr>
        <w:trPr>
          <w:cantSplit w:val="true"/>
        </w:trPr>
        <w:tc>
          <w:tcPr>
            <w:tcW w:type="dxa" w:w="3969"/>
          </w:tcPr>
          <w:p>
            <w:pPr>
              <w:spacing w:after="0"/>
            </w:pPr>
            <w:r/>
            <w:r>
              <w:rPr>
                <w:b w:val="0"/>
                <w:i w:val="0"/>
                <w:sz w:val="17"/>
              </w:rPr>
              <w:t>Continual improvement</w:t>
            </w:r>
          </w:p>
        </w:tc>
        <w:tc>
          <w:tcPr>
            <w:tcW w:type="dxa" w:w="1474"/>
          </w:tcPr>
          <w:p>
            <w:pPr>
              <w:spacing w:after="0"/>
            </w:pPr>
            <w:r/>
            <w:r>
              <w:rPr>
                <w:b w:val="0"/>
                <w:i w:val="0"/>
                <w:sz w:val="17"/>
              </w:rPr>
              <w:t>10.1</w:t>
            </w:r>
          </w:p>
        </w:tc>
        <w:tc>
          <w:tcPr>
            <w:tcW w:type="dxa" w:w="4195"/>
          </w:tcPr>
          <w:p>
            <w:pPr>
              <w:spacing w:after="0"/>
            </w:pPr>
            <w:r/>
            <w:r>
              <w:rPr>
                <w:b w:val="0"/>
                <w:i w:val="0"/>
                <w:sz w:val="17"/>
              </w:rPr>
              <w:t>2.15</w:t>
            </w:r>
          </w:p>
        </w:tc>
      </w:tr>
      <w:tr>
        <w:trPr>
          <w:cantSplit w:val="true"/>
        </w:trPr>
        <w:tc>
          <w:tcPr>
            <w:tcW w:type="dxa" w:w="3969"/>
            <w:shd w:val="clear" w:color="auto" w:fill="F3EFE6"/>
          </w:tcPr>
          <w:p>
            <w:pPr>
              <w:spacing w:after="0"/>
            </w:pPr>
            <w:r/>
            <w:r>
              <w:rPr>
                <w:b w:val="0"/>
                <w:i w:val="0"/>
                <w:sz w:val="17"/>
              </w:rPr>
              <w:t>Climate change and the absorbed Amendment 1:2024</w:t>
            </w:r>
          </w:p>
        </w:tc>
        <w:tc>
          <w:tcPr>
            <w:tcW w:type="dxa" w:w="1474"/>
            <w:shd w:val="clear" w:color="auto" w:fill="F3EFE6"/>
          </w:tcPr>
          <w:p>
            <w:pPr>
              <w:spacing w:after="0"/>
            </w:pPr>
            <w:r/>
            <w:r>
              <w:rPr>
                <w:b w:val="0"/>
                <w:i w:val="0"/>
                <w:sz w:val="17"/>
              </w:rPr>
              <w:t>4.1; 4.2</w:t>
            </w:r>
          </w:p>
        </w:tc>
        <w:tc>
          <w:tcPr>
            <w:tcW w:type="dxa" w:w="4195"/>
            <w:shd w:val="clear" w:color="auto" w:fill="F3EFE6"/>
          </w:tcPr>
          <w:p>
            <w:pPr>
              <w:spacing w:after="0"/>
            </w:pPr>
            <w:r/>
            <w:r>
              <w:rPr>
                <w:b w:val="0"/>
                <w:i w:val="0"/>
                <w:sz w:val="17"/>
              </w:rPr>
              <w:t>1.14; Sources and Research Methodology</w:t>
            </w:r>
          </w:p>
        </w:tc>
      </w:tr>
      <w:tr>
        <w:trPr>
          <w:cantSplit w:val="true"/>
        </w:trPr>
        <w:tc>
          <w:tcPr>
            <w:tcW w:type="dxa" w:w="3969"/>
          </w:tcPr>
          <w:p>
            <w:pPr>
              <w:spacing w:after="0"/>
            </w:pPr>
            <w:r/>
            <w:r>
              <w:rPr>
                <w:b w:val="0"/>
                <w:i w:val="0"/>
                <w:sz w:val="17"/>
              </w:rPr>
              <w:t>Reading what a revision actually requires</w:t>
            </w:r>
          </w:p>
        </w:tc>
        <w:tc>
          <w:tcPr>
            <w:tcW w:type="dxa" w:w="1474"/>
          </w:tcPr>
          <w:p>
            <w:pPr>
              <w:spacing w:after="0"/>
            </w:pPr>
            <w:r/>
            <w:r>
              <w:rPr>
                <w:b w:val="0"/>
                <w:i w:val="0"/>
                <w:sz w:val="17"/>
              </w:rPr>
              <w:t>—</w:t>
            </w:r>
          </w:p>
        </w:tc>
        <w:tc>
          <w:tcPr>
            <w:tcW w:type="dxa" w:w="4195"/>
          </w:tcPr>
          <w:p>
            <w:pPr>
              <w:spacing w:after="0"/>
            </w:pPr>
            <w:r/>
            <w:r>
              <w:rPr>
                <w:b w:val="0"/>
                <w:i w:val="0"/>
                <w:sz w:val="17"/>
              </w:rPr>
              <w:t>1.14, “A Checklist for the Next Revision or Standard Change”</w:t>
            </w:r>
          </w:p>
        </w:tc>
      </w:tr>
    </w:tbl>
    <w:p>
      <w:pPr>
        <w:spacing w:after="80" w:before="200"/>
      </w:pPr>
      <w:r>
        <w:rPr>
          <w:b w:val="0"/>
          <w:i/>
          <w:color w:val="5A5A5A"/>
          <w:sz w:val="18"/>
        </w:rPr>
        <w:t>This guide is updated when the accreditation timetable or the reading of the text changes, and archived once the transition period closes on 30 April 2029. It is not legal advice and it does not replace the text of the standard.</w:t>
      </w:r>
    </w:p>
    <w:p>
      <w:pPr>
        <w:spacing w:after="80" w:before="40"/>
      </w:pPr>
      <w:r>
        <w:rPr>
          <w:b w:val="0"/>
          <w:i w:val="0"/>
          <w:color w:val="9A7B2E"/>
          <w:sz w:val="16"/>
        </w:rPr>
        <w:t>Source: Francesco Dore, The Helm and the Lens, Volume 1a — ISO 14001:2026. Edizioni Effedore 2026. © 2026 Francesco Dore.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Transition Guide 2015 → 2026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