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1.1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Why an Environmental Management System, and Why Now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1.1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certificate confirms what sampled audits found when they were conducted. It cannot guarantee the morning a fuel line fails. What is the difference between an environmental management system that has been built, and one that is actually running — and how would an owner know which one they have?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ISO 14001 certification guarantees the prevention of environmental incidents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standard requires a system capable of managing environmental risk; it does not and cannot guarantee that no incident will occur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certified organisation is automatically compliant with all applicable environmental law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standard requires a process for determining and evaluating compliance obligations — not a guarantee that every obligation is met at every moment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single environmental incident automatically invalidates a certificate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What is examined is whether the system responded appropriately — investigation, correction, and prevention of recurrence — not whether an incident occurred at all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annual external audit is sufficient assurance that a system works between audits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External audits sample a system through certification and surveillance audits; ongoing effectiveness between them is the responsibility of the organisation’s own internal audit and management review, conducted far more frequently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Significant aspects, once identified, remain fixed for the life of the certificate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Clause 6.1.2 requires aspects and their significance to be kept current as circumstances change — staffing, equipment, occupancy, and surrounding land use among them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named emergency responder in a procedure satisfies the requirement indefinitely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Competence and awareness (clauses 7.2 and 7.3) are ongoing requirements; a procedure naming someone who has left the organisation does not meet them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Three Questions from “What This Means in Practice for a Hotel”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 confident answer requires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If the person named in our highest-risk procedure left tomorrow, would anyone notice before it mattered?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named backup, and a review trigger tied to staff departures, not to the calendar alone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When was our emergency response equipment last physically inspected, not just listed in an inventory?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dated inspection record, not an assumption that the inventory reflects reality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Has anyone below general manager level ever stopped an operation because of an environmental concern, and was that decision supported afterward?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remembered instance — its absence is itself the answer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certification as the finish line rather than the start of an ongoing obligation.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Naming individuals rather than roles in procedures that must survive staff turnover.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Confirming equipment exists on an inventory list without physically inspecting it.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Assigning environmental responsibility without authority to match it.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Allowing an internal audit programme to confirm documentation without ever demonstrating practice.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Fixing a significance judgement once and never revisiting it as staffing, equipment, or surrounding conditions change.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a clean external audit history as proof of a working system, rather than as one data point among several.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Responding to a finding by rewriting a document instead of examining why the practice drifted away from it.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Waiting for an incident of one’s own before reviewing whether a comparable failure mode exists in-house.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Presenting sustainability claims externally with more confidence than the underlying system actually earns.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Take the three questions from the What This Means in Practice section directly to the person currently responsible for environmental management, unannounced, and see whether the answers come with a date and a name or with a shrug. The gap between those two kinds of answer is the gap this entire subchapter has described.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Convert every procedure that currently names an individual to naming a role, with an automatic update trigger tied to departure records; establish a physical inspection schedule for environmental emergency equipment, separate from and more frequent than the annual audit cycle; and review where the environmental responsibility role sits on the organisational chart, and whether it carries real authority to interrupt an operation.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Two figures belong on a standing management review agenda from this point onward: the interval since the last physical inspection of emergency response equipment, and the number of environmental concerns raised by staff below management level that were acted on within a defined period. Both say more about whether a system is alive than any certificate on a wall.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1.1.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1.1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