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1.10</w:t>
      </w:r>
    </w:p>
    <w:p>
      <w:pPr>
        <w:keepNext/>
        <w:spacing w:after="40" w:before="0"/>
      </w:pPr>
      <w:r>
        <w:rPr>
          <w:b/>
          <w:i w:val="0"/>
          <w:color w:val="1B2A4A"/>
          <w:sz w:val="40"/>
        </w:rPr>
        <w:t>Determining Compliance Obligations Without a Single Rulebook</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1.10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 compliance register built only from statute will faithfully track every law. It will miss the obligation an organisation chose for itself, wrote into a financing agreement, and then forgot was binding the moment no regulator was left to enforce it.</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Compliance obligations under clause 6.1.3 are limited to legally mandated requirements</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clause’s own definition explicitly includes voluntary commitments the organisation chooses to adopt, alongside legal requirements</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financing covenant is a financial matter, outside the scope of an environmental management system</w:t>
            </w:r>
          </w:p>
        </w:tc>
        <w:tc>
          <w:tcPr>
            <w:tcW w:type="dxa" w:w="1191"/>
          </w:tcPr>
          <w:p>
            <w:pPr>
              <w:spacing w:after="0"/>
            </w:pPr>
            <w:r/>
            <w:r>
              <w:rPr>
                <w:b w:val="0"/>
                <w:i w:val="0"/>
                <w:sz w:val="17"/>
              </w:rPr>
              <w:t>No</w:t>
            </w:r>
          </w:p>
        </w:tc>
        <w:tc>
          <w:tcPr>
            <w:tcW w:type="dxa" w:w="3515"/>
          </w:tcPr>
          <w:p>
            <w:pPr>
              <w:spacing w:after="0"/>
            </w:pPr>
            <w:r/>
            <w:r>
              <w:rPr>
                <w:b w:val="0"/>
                <w:i w:val="0"/>
                <w:sz w:val="17"/>
              </w:rPr>
              <w:t>Where a covenant is tied to environmental performance, it falls within contractual relationships — a category the standard’s own definition names as a source of compliance obligations</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An obligation only counts under clause 6.1.3 if a regulator can enforce it</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standard’s definition covers requirements the organisation “must or chooses to comply with,” independent of who enforces the consequence</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global hotel group cannot meaningfully determine compliance obligations without a jurisdiction-by-jurisdiction legal register for every property</w:t>
            </w:r>
          </w:p>
        </w:tc>
        <w:tc>
          <w:tcPr>
            <w:tcW w:type="dxa" w:w="1191"/>
          </w:tcPr>
          <w:p>
            <w:pPr>
              <w:spacing w:after="0"/>
            </w:pPr>
            <w:r/>
            <w:r>
              <w:rPr>
                <w:b w:val="0"/>
                <w:i w:val="0"/>
                <w:sz w:val="17"/>
              </w:rPr>
              <w:t>Only partially true</w:t>
            </w:r>
          </w:p>
        </w:tc>
        <w:tc>
          <w:tcPr>
            <w:tcW w:type="dxa" w:w="3515"/>
          </w:tcPr>
          <w:p>
            <w:pPr>
              <w:spacing w:after="0"/>
            </w:pPr>
            <w:r/>
            <w:r>
              <w:rPr>
                <w:b w:val="0"/>
                <w:i w:val="0"/>
                <w:sz w:val="17"/>
              </w:rPr>
              <w:t>Legal requirements do vary by jurisdiction and require local expertise to determine; voluntary obligations do not, and can be determined through a single, group-wide process regardless of location</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Once a voluntary commitment is made publicly or contractually, walking it back carries no consequence under the standard</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A voluntary obligation, once adopted, must be taken into account under 6.1.3 exactly as a legal one is — failing to manage toward it is a gap in the management system, independent of any external enforcement</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Brand standards imposed by a franchisor or management company are outside the property owner’s own compliance obligations register</w:t>
            </w:r>
          </w:p>
        </w:tc>
        <w:tc>
          <w:tcPr>
            <w:tcW w:type="dxa" w:w="1191"/>
          </w:tcPr>
          <w:p>
            <w:pPr>
              <w:spacing w:after="0"/>
            </w:pPr>
            <w:r/>
            <w:r>
              <w:rPr>
                <w:b w:val="0"/>
                <w:i w:val="0"/>
                <w:sz w:val="17"/>
              </w:rPr>
              <w:t>No</w:t>
            </w:r>
          </w:p>
        </w:tc>
        <w:tc>
          <w:tcPr>
            <w:tcW w:type="dxa" w:w="3515"/>
          </w:tcPr>
          <w:p>
            <w:pPr>
              <w:spacing w:after="0"/>
            </w:pPr>
            <w:r/>
            <w:r>
              <w:rPr>
                <w:b w:val="0"/>
                <w:i w:val="0"/>
                <w:sz w:val="17"/>
              </w:rPr>
              <w:t>Where the property has agreed to meet a brand standard with environmental content, it constitutes a compliance obligation the property’s own system should determine and track</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Obligations Review</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Have we asked finance, procurement, brand relations, and sales directly what environmental commitments they have made?</w:t>
            </w:r>
          </w:p>
        </w:tc>
        <w:tc>
          <w:tcPr>
            <w:tcW w:type="dxa" w:w="2948"/>
            <w:shd w:val="clear" w:color="auto" w:fill="F3EFE6"/>
          </w:tcPr>
          <w:p>
            <w:pPr>
              <w:spacing w:after="0"/>
            </w:pPr>
            <w:r/>
            <w:r>
              <w:rPr>
                <w:b w:val="0"/>
                <w:i w:val="0"/>
                <w:sz w:val="17"/>
              </w:rPr>
              <w:t>The single question that would have surfaced the Singapore covenant years before its test date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Does our register explicitly separate legal requirements from voluntary obligations, or does it read as legal-only by default?</w:t>
            </w:r>
          </w:p>
        </w:tc>
        <w:tc>
          <w:tcPr>
            <w:tcW w:type="dxa" w:w="2948"/>
          </w:tcPr>
          <w:p>
            <w:pPr>
              <w:spacing w:after="0"/>
            </w:pPr>
            <w:r/>
            <w:r>
              <w:rPr>
                <w:b w:val="0"/>
                <w:i w:val="0"/>
                <w:sz w:val="17"/>
              </w:rPr>
              <w:t>An undifferentiated register tends to drift toward legal obligations only, exactly as Singapore’s did</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For every voluntary obligation, is there a named monitoring owner connected to data the organisation already collects?</w:t>
            </w:r>
          </w:p>
        </w:tc>
        <w:tc>
          <w:tcPr>
            <w:tcW w:type="dxa" w:w="2948"/>
            <w:shd w:val="clear" w:color="auto" w:fill="F3EFE6"/>
          </w:tcPr>
          <w:p>
            <w:pPr>
              <w:spacing w:after="0"/>
            </w:pPr>
            <w:r/>
            <w:r>
              <w:rPr>
                <w:b w:val="0"/>
                <w:i w:val="0"/>
                <w:sz w:val="17"/>
              </w:rPr>
              <w:t>Data availability is rarely the gap; connection to consequence usually is</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Do we have internal checkpoints ahead of every external test or verification date, not only the date itself?</w:t>
            </w:r>
          </w:p>
        </w:tc>
        <w:tc>
          <w:tcPr>
            <w:tcW w:type="dxa" w:w="2948"/>
          </w:tcPr>
          <w:p>
            <w:pPr>
              <w:spacing w:after="0"/>
            </w:pPr>
            <w:r/>
            <w:r>
              <w:rPr>
                <w:b w:val="0"/>
                <w:i w:val="0"/>
                <w:sz w:val="17"/>
              </w:rPr>
              <w:t>Waiting for the test date converts a manageable trend into an unavoidable outcome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Is local legal expertise engaged for every jurisdiction we operate in, distinct from the group-wide voluntary-obligation process?</w:t>
            </w:r>
          </w:p>
        </w:tc>
        <w:tc>
          <w:tcPr>
            <w:tcW w:type="dxa" w:w="2948"/>
            <w:shd w:val="clear" w:color="auto" w:fill="F3EFE6"/>
          </w:tcPr>
          <w:p>
            <w:pPr>
              <w:spacing w:after="0"/>
            </w:pPr>
            <w:r/>
            <w:r>
              <w:rPr>
                <w:b w:val="0"/>
                <w:i w:val="0"/>
                <w:sz w:val="17"/>
              </w:rPr>
              <w:t>The two layers require different methods, and conflating them leaves gaps in both</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Defining compliance obligations as legally mandated requirements only, excluding voluntary commitments.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a financing covenant as a purely financial matter, disconnected from environmental compliance.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Leaving obligation determination entirely to the legal or compliance function, with no intake process for other functions.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a global operation cannot build a compliance process without jurisdiction-specific law for every category of obligation.</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Failing to connect existing operational data — already tracked for other purposes — to a specific obligation’s defined target.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Renegotiating a missed obligation’s terms without addressing the underlying monitoring gap that let it go unmanaged.</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brand or franchise standards as outside the property’s own compliance register.</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Waiting for an annual test or audit date rather than establishing more frequent internal checkpoints ahead of it.</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 voluntary commitment carries no consequence under the standard simply because no regulator enforces it.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Reviewing compliance obligations only within the environmental or sustainability function, without visibility into what finance, procurement, or sales have separately committed to.</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Ask finance, procurement, brand relations, and sales directly: what agreements, standards, or commitments has this function made in the past three years that contain any environmental performance element? The answer, gathered honestly, frequently surprises the environmental management team as much as it would have surprised Singapore’s.</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Establish a standing procedural requirement that no function finalises an agreement, standard, or public commitment with environmental content without routing it through the compliance obligations register first; restructure the register to explicitly separate legal and voluntary obligations; and connect each voluntary obligation’s specific target to whichever existing operational data source already tracks the relevant metric.</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Establish internal checkpoints ahead of every external test or verification date for any performance-linked obligation, financial or otherwise — waiting for the test date itself converts a manageable trend into an unavoidable outcome.</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1.10.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1.10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