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</w:pPr>
      <w:r>
        <w:rPr>
          <w:b/>
          <w:i w:val="0"/>
          <w:color w:val="9A7B2E"/>
          <w:sz w:val="18"/>
        </w:rPr>
        <w:t>Working Material 1.12</w:t>
      </w:r>
    </w:p>
    <w:p>
      <w:pPr>
        <w:keepNext/>
        <w:spacing w:after="40" w:before="0"/>
      </w:pPr>
      <w:r>
        <w:rPr>
          <w:b/>
          <w:i w:val="0"/>
          <w:color w:val="1B2A4A"/>
          <w:sz w:val="40"/>
        </w:rPr>
        <w:t>Planning Actions to Achieve the Objectives</w:t>
      </w:r>
    </w:p>
    <w:p>
      <w:pPr>
        <w:spacing w:after="160" w:before="0"/>
      </w:pPr>
      <w:r>
        <w:rPr>
          <w:b w:val="0"/>
          <w:i/>
          <w:color w:val="5A5A5A"/>
          <w:sz w:val="17"/>
        </w:rPr>
        <w:t>ISO 14001:2026 · Material date: 25 October 2026</w:t>
      </w:r>
    </w:p>
    <w:p>
      <w:pPr>
        <w:spacing w:after="160" w:before="0"/>
      </w:pPr>
      <w:r>
        <w:rPr>
          <w:b w:val="0"/>
          <w:i/>
          <w:color w:val="333333"/>
          <w:sz w:val="19"/>
        </w:rPr>
        <w:t>This sheet puts the working parts of subchapter 1.12 into editable form: the Verification Pact, the review questions, the common mistakes as a self-check and the Operative Synthesis as an action plan. The empty columns are for your property. The reasoning behind each row is in the book.</w:t>
      </w:r>
    </w:p>
    <w:tbl>
      <w:tblPr>
        <w:tblW w:type="dxa" w:w="9639"/>
        <w:jc w:val="center"/>
        <w:tblLook w:firstColumn="1" w:firstRow="1" w:lastColumn="0" w:lastRow="0" w:noHBand="0" w:noVBand="1" w:val="04A0"/>
        <w:tblLayout w:type="fixed"/>
        <w:tblCellMar>
          <w:top w:w="120" w:type="dxa"/>
          <w:left w:w="200" w:type="dxa"/>
          <w:bottom w:w="120" w:type="dxa"/>
          <w:right w:w="160" w:type="dxa"/>
        </w:tblCellMar>
        <w:tblLayout w:type="fixed"/>
      </w:tblPr>
      <w:tblGrid>
        <w:gridCol w:w="9639"/>
      </w:tblGrid>
      <w:tr>
        <w:tc>
          <w:tcPr>
            <w:tcW w:type="dxa" w:w="9638"/>
            <w:shd w:val="clear" w:color="auto" w:fill="F3EFE6"/>
            <w:tcBorders>
              <w:left w:val="single" w:sz="24" w:space="0" w:color="9A7B2E"/>
              <w:top w:val="single" w:sz="4" w:space="0" w:color="F3EFE6"/>
              <w:bottom w:val="single" w:sz="4" w:space="0" w:color="F3EFE6"/>
              <w:right w:val="single" w:sz="4" w:space="0" w:color="F3EFE6"/>
            </w:tcBorders>
          </w:tcPr>
          <w:p>
            <w:pPr>
              <w:spacing w:after="60"/>
            </w:pPr>
            <w:r>
              <w:rPr>
                <w:b/>
                <w:color w:val="9A7B2E"/>
                <w:sz w:val="17"/>
              </w:rPr>
              <w:t>GUIDING QUESTION</w:t>
            </w:r>
          </w:p>
          <w:p>
            <w:pPr>
              <w:spacing w:after="40"/>
            </w:pPr>
            <w:r>
              <w:rPr>
                <w:i w:val="0"/>
                <w:color w:val="1B2A4A"/>
                <w:sz w:val="21"/>
              </w:rPr>
              <w:t>An objective and a spreadsheet cell that says who owns it are not the same thing as a plan. What exactly is missing between a good target and the moment, ten months later, when nothing has actually happened toward it?</w:t>
            </w:r>
          </w:p>
        </w:tc>
      </w:tr>
    </w:tbl>
    <w:p>
      <w:pPr>
        <w:spacing w:after="40"/>
      </w:pPr>
    </w:p>
    <w:p>
      <w:pPr>
        <w:keepNext/>
        <w:spacing w:after="80" w:before="200"/>
      </w:pPr>
      <w:r>
        <w:rPr>
          <w:b/>
          <w:i w:val="0"/>
          <w:color w:val="9A7B2E"/>
          <w:sz w:val="26"/>
        </w:rPr>
        <w:t>Verification Pact: Market Claims Against the Standard</w:t>
      </w:r>
    </w:p>
    <w:p>
      <w:pPr>
        <w:keepNext/>
        <w:spacing w:after="80" w:before="0"/>
      </w:pPr>
      <w:r>
        <w:rPr>
          <w:b w:val="0"/>
          <w:i/>
          <w:color w:val="5A5A5A"/>
          <w:sz w:val="18"/>
        </w:rPr>
        <w:t>The first three columns are copied from the book. In the last one, note whether this claim circulates in your property — in a proposal, a brochure, a supplier’s pitch or your own documents — and what you now hold instead.</w:t>
      </w:r>
    </w:p>
    <w:tbl>
      <w:tblPr>
        <w:tblW w:type="dxa" w:w="9639"/>
        <w:jc w:val="center"/>
        <w:tblLook w:firstColumn="1" w:firstRow="1" w:lastColumn="0" w:lastRow="0" w:noHBand="0" w:noVBand="1" w:val="04A0"/>
        <w:tblBorders>
          <w:top w:val="single" w:sz="4" w:space="0" w:color="C9BBA6"/>
          <w:left w:val="single" w:sz="4" w:space="0" w:color="C9BBA6"/>
          <w:bottom w:val="single" w:sz="4" w:space="0" w:color="C9BBA6"/>
          <w:right w:val="single" w:sz="4" w:space="0" w:color="C9BBA6"/>
          <w:insideH w:val="single" w:sz="4" w:space="0" w:color="C9BBA6"/>
          <w:insideV w:val="single" w:sz="4" w:space="0" w:color="C9BBA6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2551"/>
        <w:gridCol w:w="1190"/>
        <w:gridCol w:w="3515"/>
        <w:gridCol w:w="2381"/>
      </w:tblGrid>
      <w:tr>
        <w:trPr>
          <w:tblHeader w:val="true"/>
        </w:trPr>
        <w:tc>
          <w:tcPr>
            <w:tcW w:type="dxa" w:w="2551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What is claimed</w:t>
            </w:r>
          </w:p>
        </w:tc>
        <w:tc>
          <w:tcPr>
            <w:tcW w:type="dxa" w:w="1191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Binding?</w:t>
            </w:r>
          </w:p>
        </w:tc>
        <w:tc>
          <w:tcPr>
            <w:tcW w:type="dxa" w:w="3515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What actually holds</w:t>
            </w:r>
          </w:p>
        </w:tc>
        <w:tc>
          <w:tcPr>
            <w:tcW w:type="dxa" w:w="2381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In our property</w:t>
            </w:r>
          </w:p>
        </w:tc>
      </w:tr>
      <w:tr>
        <w:trPr>
          <w:cantSplit w:val="true"/>
        </w:trPr>
        <w:tc>
          <w:tcPr>
            <w:tcW w:type="dxa" w:w="2551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Naming a responsible owner and a deadline satisfies clause 6.2.2’s planning requirement</w:t>
            </w:r>
          </w:p>
        </w:tc>
        <w:tc>
          <w:tcPr>
            <w:tcW w:type="dxa" w:w="1191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No</w:t>
            </w:r>
          </w:p>
        </w:tc>
        <w:tc>
          <w:tcPr>
            <w:tcW w:type="dxa" w:w="3515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The clause requires five distinct elements — action, resources, responsibility, timing, and evaluation method — not only responsibility and a deadline</w:t>
            </w:r>
          </w:p>
        </w:tc>
        <w:tc>
          <w:tcPr>
            <w:tcW w:type="dxa" w:w="2381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A plan exists as soon as an objective is recorded with an owner attached</w:t>
            </w:r>
          </w:p>
        </w:tc>
        <w:tc>
          <w:tcPr>
            <w:tcW w:type="dxa" w:w="1191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No</w:t>
            </w:r>
          </w:p>
        </w:tc>
        <w:tc>
          <w:tcPr>
            <w:tcW w:type="dxa" w:w="3515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An owner’s name attached to an outcome is not, by itself, a specific action with resources and interim evaluation attached to it</w:t>
            </w:r>
          </w:p>
        </w:tc>
        <w:tc>
          <w:tcPr>
            <w:tcW w:type="dxa" w:w="2381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2551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Integration with business processes is a general aspiration, not a specific requirement</w:t>
            </w:r>
          </w:p>
        </w:tc>
        <w:tc>
          <w:tcPr>
            <w:tcW w:type="dxa" w:w="1191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No</w:t>
            </w:r>
          </w:p>
        </w:tc>
        <w:tc>
          <w:tcPr>
            <w:tcW w:type="dxa" w:w="3515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Clause 6.2.2 explicitly requires the organisation to consider this integration when planning how to achieve its objectives</w:t>
            </w:r>
          </w:p>
        </w:tc>
        <w:tc>
          <w:tcPr>
            <w:tcW w:type="dxa" w:w="2381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A rushed, last-minute action taken to hit a year-end deadline satisfies the standard as fully as a properly planned one</w:t>
            </w:r>
          </w:p>
        </w:tc>
        <w:tc>
          <w:tcPr>
            <w:tcW w:type="dxa" w:w="1191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Technically, if the objective is met</w:t>
            </w:r>
          </w:p>
        </w:tc>
        <w:tc>
          <w:tcPr>
            <w:tcW w:type="dxa" w:w="3515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The objective’s numeric achievement may be satisfied, but the absence of genuine planning — resourcing, interim evaluation, process integration — remains a separate gap the standard addresses independently</w:t>
            </w:r>
          </w:p>
        </w:tc>
        <w:tc>
          <w:tcPr>
            <w:tcW w:type="dxa" w:w="2381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2551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Evaluation of progress under this clause is satisfied by checking the final result once, at the end of the objective’s period</w:t>
            </w:r>
          </w:p>
        </w:tc>
        <w:tc>
          <w:tcPr>
            <w:tcW w:type="dxa" w:w="1191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No</w:t>
            </w:r>
          </w:p>
        </w:tc>
        <w:tc>
          <w:tcPr>
            <w:tcW w:type="dxa" w:w="3515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The clause specifically calls for indicators for monitoring progress, implying visibility before the final outcome, not only at it</w:t>
            </w:r>
          </w:p>
        </w:tc>
        <w:tc>
          <w:tcPr>
            <w:tcW w:type="dxa" w:w="2381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Capital-intensive objectives are inherently harder to plan under this clause and warrant lighter planning requirements</w:t>
            </w:r>
          </w:p>
        </w:tc>
        <w:tc>
          <w:tcPr>
            <w:tcW w:type="dxa" w:w="1191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No</w:t>
            </w:r>
          </w:p>
        </w:tc>
        <w:tc>
          <w:tcPr>
            <w:tcW w:type="dxa" w:w="3515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The clause applies uniformly regardless of an action’s cost or complexity; capital-intensive actions arguably need more explicit resource and timing planning, not less</w:t>
            </w:r>
          </w:p>
        </w:tc>
        <w:tc>
          <w:tcPr>
            <w:tcW w:type="dxa" w:w="2381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</w:tbl>
    <w:p>
      <w:pPr>
        <w:keepNext/>
        <w:spacing w:after="80" w:before="200"/>
      </w:pPr>
      <w:r>
        <w:rPr>
          <w:b/>
          <w:i w:val="0"/>
          <w:color w:val="9A7B2E"/>
          <w:sz w:val="26"/>
        </w:rPr>
        <w:t>A Checklist for the Next Planning Cycle</w:t>
      </w:r>
    </w:p>
    <w:p>
      <w:pPr>
        <w:keepNext/>
        <w:spacing w:after="80" w:before="0"/>
      </w:pPr>
      <w:r>
        <w:rPr>
          <w:b w:val="0"/>
          <w:i/>
          <w:color w:val="5A5A5A"/>
          <w:sz w:val="18"/>
        </w:rPr>
        <w:t>Answer each question with Yes, Partly, No or N.A., and name the evidence: a record, a date, a person, a place someone can go and look. An answer without evidence is an opinion.</w:t>
      </w:r>
    </w:p>
    <w:tbl>
      <w:tblPr>
        <w:tblW w:type="dxa" w:w="9639"/>
        <w:jc w:val="center"/>
        <w:tblLook w:firstColumn="1" w:firstRow="1" w:lastColumn="0" w:lastRow="0" w:noHBand="0" w:noVBand="1" w:val="04A0"/>
        <w:tblBorders>
          <w:top w:val="single" w:sz="4" w:space="0" w:color="C9BBA6"/>
          <w:left w:val="single" w:sz="4" w:space="0" w:color="C9BBA6"/>
          <w:bottom w:val="single" w:sz="4" w:space="0" w:color="C9BBA6"/>
          <w:right w:val="single" w:sz="4" w:space="0" w:color="C9BBA6"/>
          <w:insideH w:val="single" w:sz="4" w:space="0" w:color="C9BBA6"/>
          <w:insideV w:val="single" w:sz="4" w:space="0" w:color="C9BBA6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3061"/>
        <w:gridCol w:w="2948"/>
        <w:gridCol w:w="1020"/>
        <w:gridCol w:w="2608"/>
      </w:tblGrid>
      <w:tr>
        <w:trPr>
          <w:tblHeader w:val="true"/>
        </w:trPr>
        <w:tc>
          <w:tcPr>
            <w:tcW w:type="dxa" w:w="3061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Question</w:t>
            </w:r>
          </w:p>
        </w:tc>
        <w:tc>
          <w:tcPr>
            <w:tcW w:type="dxa" w:w="2948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Why it matters</w:t>
            </w:r>
          </w:p>
        </w:tc>
        <w:tc>
          <w:tcPr>
            <w:tcW w:type="dxa" w:w="1020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Answer</w:t>
            </w:r>
          </w:p>
        </w:tc>
        <w:tc>
          <w:tcPr>
            <w:tcW w:type="dxa" w:w="2608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Evidence</w:t>
            </w:r>
          </w:p>
        </w:tc>
      </w:tr>
      <w:tr>
        <w:trPr>
          <w:cantSplit w:val="true"/>
          <w:trHeight w:val="680" w:hRule="atLeast"/>
        </w:trPr>
        <w:tc>
          <w:tcPr>
            <w:tcW w:type="dxa" w:w="3061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Can we answer all five clause 6.2.2 elements for this objective in writing, today?</w:t>
            </w:r>
          </w:p>
        </w:tc>
        <w:tc>
          <w:tcPr>
            <w:tcW w:type="dxa" w:w="2948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The single test that would have caught the Buenos Aires gap in January rather than October</w:t>
            </w:r>
          </w:p>
        </w:tc>
        <w:tc>
          <w:tcPr>
            <w:tcW w:type="dxa" w:w="1020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2608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  <w:trHeight w:val="680" w:hRule="atLeast"/>
        </w:trPr>
        <w:tc>
          <w:tcPr>
            <w:tcW w:type="dxa" w:w="3061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Does our objective-setting timeline conclude before, or after, our own capital or resource approval deadline?</w:t>
            </w:r>
          </w:p>
        </w:tc>
        <w:tc>
          <w:tcPr>
            <w:tcW w:type="dxa" w:w="2948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A sound objective set after its own funding window has closed cannot be achieved through planned action, only through emergency measures</w:t>
            </w:r>
          </w:p>
        </w:tc>
        <w:tc>
          <w:tcPr>
            <w:tcW w:type="dxa" w:w="1020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2608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  <w:trHeight w:val="680" w:hRule="atLeast"/>
        </w:trPr>
        <w:tc>
          <w:tcPr>
            <w:tcW w:type="dxa" w:w="3061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Is there a named individual accountable for the next specific step, not only a department for the eventual outcome?</w:t>
            </w:r>
          </w:p>
        </w:tc>
        <w:tc>
          <w:tcPr>
            <w:tcW w:type="dxa" w:w="2948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“Engineering” is not a person who can miss a submission deadline and be asked why</w:t>
            </w:r>
          </w:p>
        </w:tc>
        <w:tc>
          <w:tcPr>
            <w:tcW w:type="dxa" w:w="1020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2608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  <w:trHeight w:val="680" w:hRule="atLeast"/>
        </w:trPr>
        <w:tc>
          <w:tcPr>
            <w:tcW w:type="dxa" w:w="3061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Do we have at least quarterly visibility into this objective’s progress, not only a final evaluation date?</w:t>
            </w:r>
          </w:p>
        </w:tc>
        <w:tc>
          <w:tcPr>
            <w:tcW w:type="dxa" w:w="2948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Ten months of silence is how a solvable problem became an expensive emergency</w:t>
            </w:r>
          </w:p>
        </w:tc>
        <w:tc>
          <w:tcPr>
            <w:tcW w:type="dxa" w:w="1020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2608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  <w:trHeight w:val="680" w:hRule="atLeast"/>
        </w:trPr>
        <w:tc>
          <w:tcPr>
            <w:tcW w:type="dxa" w:w="3061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Has this action actually been proposed through our organisation’s normal approval process, or does it exist only on the environmental objectives sheet?</w:t>
            </w:r>
          </w:p>
        </w:tc>
        <w:tc>
          <w:tcPr>
            <w:tcW w:type="dxa" w:w="2948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The two must be the same process, not two parallel ones that happen to describe the same intention</w:t>
            </w:r>
          </w:p>
        </w:tc>
        <w:tc>
          <w:tcPr>
            <w:tcW w:type="dxa" w:w="1020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2608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</w:tbl>
    <w:p>
      <w:pPr>
        <w:keepNext/>
        <w:spacing w:after="80" w:before="200"/>
      </w:pPr>
      <w:r>
        <w:rPr>
          <w:b/>
          <w:i w:val="0"/>
          <w:color w:val="9A7B2E"/>
          <w:sz w:val="26"/>
        </w:rPr>
        <w:t>Common Mistakes — Self-Check</w:t>
      </w:r>
    </w:p>
    <w:p>
      <w:pPr>
        <w:keepNext/>
        <w:spacing w:after="80" w:before="0"/>
      </w:pPr>
      <w:r>
        <w:rPr>
          <w:b w:val="0"/>
          <w:i/>
          <w:color w:val="5A5A5A"/>
          <w:sz w:val="18"/>
        </w:rPr>
        <w:t>Tick every mistake you recognise in your own property today, and write next to it where you saw it. A ticked box is not a nonconformity; it is a place to look before an auditor or an incident does.</w:t>
      </w:r>
    </w:p>
    <w:tbl>
      <w:tblPr>
        <w:tblW w:type="dxa" w:w="9639"/>
        <w:jc w:val="center"/>
        <w:tblLook w:firstColumn="1" w:firstRow="1" w:lastColumn="0" w:lastRow="0" w:noHBand="0" w:noVBand="1" w:val="04A0"/>
        <w:tblBorders>
          <w:top w:val="single" w:sz="4" w:space="0" w:color="C9BBA6"/>
          <w:left w:val="single" w:sz="4" w:space="0" w:color="C9BBA6"/>
          <w:bottom w:val="single" w:sz="4" w:space="0" w:color="C9BBA6"/>
          <w:right w:val="single" w:sz="4" w:space="0" w:color="C9BBA6"/>
          <w:insideH w:val="single" w:sz="4" w:space="0" w:color="C9BBA6"/>
          <w:insideV w:val="single" w:sz="4" w:space="0" w:color="C9BBA6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510"/>
        <w:gridCol w:w="5726"/>
        <w:gridCol w:w="3402"/>
      </w:tblGrid>
      <w:tr>
        <w:trPr>
          <w:tblHeader w:val="true"/>
        </w:trPr>
        <w:tc>
          <w:tcPr>
            <w:tcW w:type="dxa" w:w="510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☐</w:t>
            </w:r>
          </w:p>
        </w:tc>
        <w:tc>
          <w:tcPr>
            <w:tcW w:type="dxa" w:w="5726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Mistake (from the book)</w:t>
            </w:r>
          </w:p>
        </w:tc>
        <w:tc>
          <w:tcPr>
            <w:tcW w:type="dxa" w:w="3402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Where we see it</w:t>
            </w:r>
          </w:p>
        </w:tc>
      </w:tr>
      <w:tr>
        <w:trPr>
          <w:cantSplit w:val="true"/>
        </w:trPr>
        <w:tc>
          <w:tcPr>
            <w:tcW w:type="dxa" w:w="510"/>
            <w:shd w:val="clear" w:color="auto" w:fill="F3EFE6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Recording an objective’s owner and deadline as though this constitutes a complete plan under clause 6.2.2.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Setting environmental objectives without reference to the organisation’s own capital or resource approval calendar.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510"/>
            <w:shd w:val="clear" w:color="auto" w:fill="F3EFE6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Failing to name a specific action, distinct from the objective’s target figure itself.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Leaving evaluation until a single point near the objective’s final deadline, with no interim checkpoint.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510"/>
            <w:shd w:val="clear" w:color="auto" w:fill="F3EFE6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Assuming a technically capable team’s informal familiarity with a solution substitutes for a resourced, scheduled plan.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Extending a missed deadline without addressing the calendar mismatch that caused it to be missed.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510"/>
            <w:shd w:val="clear" w:color="auto" w:fill="F3EFE6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Allowing a rushed, non-competitive action taken under year-end pressure to substitute for properly planned procurement.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Treating capital-intensive objectives as warranting less rigorous planning because their scale feels daunting.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510"/>
            <w:shd w:val="clear" w:color="auto" w:fill="F3EFE6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Failing to consider, explicitly, how an action will integrate into the organisation’s normal business processes rather than existing alongside them.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Reviewing objectives only within the environmental function, without input from whichever function actually controls the resources an action requires.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</w:tbl>
    <w:p>
      <w:pPr>
        <w:keepNext/>
        <w:spacing w:after="80" w:before="200"/>
      </w:pPr>
      <w:r>
        <w:rPr>
          <w:b/>
          <w:i w:val="0"/>
          <w:color w:val="9A7B2E"/>
          <w:sz w:val="26"/>
        </w:rPr>
        <w:t>Operative Synthesis — Action Plan</w:t>
      </w:r>
    </w:p>
    <w:p>
      <w:pPr>
        <w:keepNext/>
        <w:spacing w:after="80" w:before="0"/>
      </w:pPr>
      <w:r>
        <w:rPr>
          <w:b w:val="0"/>
          <w:i/>
          <w:color w:val="5A5A5A"/>
          <w:sz w:val="18"/>
        </w:rPr>
        <w:t>The three horizons and their actions are copied from the book. Owner and due date are yours to fill: an action without both is a wish.</w:t>
      </w:r>
    </w:p>
    <w:tbl>
      <w:tblPr>
        <w:tblW w:type="dxa" w:w="9639"/>
        <w:jc w:val="center"/>
        <w:tblLook w:firstColumn="1" w:firstRow="1" w:lastColumn="0" w:lastRow="0" w:noHBand="0" w:noVBand="1" w:val="04A0"/>
        <w:tblBorders>
          <w:top w:val="single" w:sz="4" w:space="0" w:color="C9BBA6"/>
          <w:left w:val="single" w:sz="4" w:space="0" w:color="C9BBA6"/>
          <w:bottom w:val="single" w:sz="4" w:space="0" w:color="C9BBA6"/>
          <w:right w:val="single" w:sz="4" w:space="0" w:color="C9BBA6"/>
          <w:insideH w:val="single" w:sz="4" w:space="0" w:color="C9BBA6"/>
          <w:insideV w:val="single" w:sz="4" w:space="0" w:color="C9BBA6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1587"/>
        <w:gridCol w:w="5329"/>
        <w:gridCol w:w="1474"/>
        <w:gridCol w:w="1247"/>
      </w:tblGrid>
      <w:tr>
        <w:trPr>
          <w:tblHeader w:val="true"/>
        </w:trPr>
        <w:tc>
          <w:tcPr>
            <w:tcW w:type="dxa" w:w="1587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Horizon</w:t>
            </w:r>
          </w:p>
        </w:tc>
        <w:tc>
          <w:tcPr>
            <w:tcW w:type="dxa" w:w="5329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Action from the book</w:t>
            </w:r>
          </w:p>
        </w:tc>
        <w:tc>
          <w:tcPr>
            <w:tcW w:type="dxa" w:w="1474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Owner</w:t>
            </w:r>
          </w:p>
        </w:tc>
        <w:tc>
          <w:tcPr>
            <w:tcW w:type="dxa" w:w="1247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Due date</w:t>
            </w:r>
          </w:p>
        </w:tc>
      </w:tr>
      <w:tr>
        <w:trPr>
          <w:cantSplit w:val="true"/>
        </w:trPr>
        <w:tc>
          <w:tcPr>
            <w:tcW w:type="dxa" w:w="1587"/>
            <w:shd w:val="clear" w:color="auto" w:fill="F3EFE6"/>
          </w:tcPr>
          <w:p>
            <w:pPr>
              <w:spacing w:after="0"/>
            </w:pPr>
            <w:r/>
            <w:r>
              <w:rPr>
                <w:b/>
                <w:i w:val="0"/>
                <w:sz w:val="17"/>
              </w:rPr>
              <w:t>Act on immediately</w:t>
            </w:r>
          </w:p>
        </w:tc>
        <w:tc>
          <w:tcPr>
            <w:tcW w:type="dxa" w:w="5329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Take every currently active environmental objective and test it against the five clause 6.2.2 elements — specific action, resources, named individual accountability, interim timing, and evaluation method. Any objective that cannot answer all five in writing today is an aspiration, not yet a plan.</w:t>
            </w:r>
          </w:p>
        </w:tc>
        <w:tc>
          <w:tcPr>
            <w:tcW w:type="dxa" w:w="1474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1247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1587"/>
          </w:tcPr>
          <w:p>
            <w:pPr>
              <w:spacing w:after="0"/>
            </w:pPr>
            <w:r/>
            <w:r>
              <w:rPr>
                <w:b/>
                <w:i w:val="0"/>
                <w:sz w:val="17"/>
              </w:rPr>
              <w:t>Plan for</w:t>
            </w:r>
          </w:p>
        </w:tc>
        <w:tc>
          <w:tcPr>
            <w:tcW w:type="dxa" w:w="5329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Schedule the annual objective-setting cycle to conclude ahead of the organisation’s own capital or resource approval deadline, not after it; redesign the objectives tracking format to require all five elements before an objective can be formally adopted; and establish quarterly, not only annual, progress checkpoints for every active objective.</w:t>
            </w:r>
          </w:p>
        </w:tc>
        <w:tc>
          <w:tcPr>
            <w:tcW w:type="dxa" w:w="1474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1247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1587"/>
            <w:shd w:val="clear" w:color="auto" w:fill="F3EFE6"/>
          </w:tcPr>
          <w:p>
            <w:pPr>
              <w:spacing w:after="0"/>
            </w:pPr>
            <w:r/>
            <w:r>
              <w:rPr>
                <w:b/>
                <w:i w:val="0"/>
                <w:sz w:val="17"/>
              </w:rPr>
              <w:t>Monitor going forward</w:t>
            </w:r>
          </w:p>
        </w:tc>
        <w:tc>
          <w:tcPr>
            <w:tcW w:type="dxa" w:w="5329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Track, for every objective requiring resource investment, whether the action has actually entered the organisation’s normal approval process by the relevant deadline — treating a missed internal deadline as an early warning worth escalating, not a detail to notice only once the objective’s own final evaluation date arrives.</w:t>
            </w:r>
          </w:p>
        </w:tc>
        <w:tc>
          <w:tcPr>
            <w:tcW w:type="dxa" w:w="1474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1247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</w:tbl>
    <w:p>
      <w:pPr>
        <w:spacing w:after="120" w:before="0"/>
      </w:pPr>
    </w:p>
    <w:tbl>
      <w:tblPr>
        <w:tblW w:type="dxa" w:w="9639"/>
        <w:jc w:val="center"/>
        <w:tblLook w:firstColumn="1" w:firstRow="1" w:lastColumn="0" w:lastRow="0" w:noHBand="0" w:noVBand="1" w:val="04A0"/>
        <w:tblLayout w:type="fixed"/>
        <w:tblCellMar>
          <w:top w:w="120" w:type="dxa"/>
          <w:left w:w="200" w:type="dxa"/>
          <w:bottom w:w="120" w:type="dxa"/>
          <w:right w:w="160" w:type="dxa"/>
        </w:tblCellMar>
        <w:tblLayout w:type="fixed"/>
      </w:tblPr>
      <w:tblGrid>
        <w:gridCol w:w="9639"/>
      </w:tblGrid>
      <w:tr>
        <w:tc>
          <w:tcPr>
            <w:tcW w:type="dxa" w:w="9638"/>
            <w:shd w:val="clear" w:color="auto" w:fill="FFFFFF"/>
            <w:tcBorders>
              <w:left w:val="single" w:sz="24" w:space="0" w:color="C9BBA6"/>
              <w:top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spacing w:after="60"/>
            </w:pPr>
            <w:r>
              <w:rPr>
                <w:b/>
                <w:color w:val="5A5A5A"/>
                <w:sz w:val="17"/>
              </w:rPr>
              <w:t>WHAT THIS SHEET IS NOT</w:t>
            </w:r>
          </w:p>
          <w:p>
            <w:pPr>
              <w:spacing w:after="40"/>
            </w:pPr>
            <w:r>
              <w:rPr>
                <w:i/>
                <w:color w:val="333333"/>
                <w:sz w:val="18"/>
              </w:rPr>
              <w:t>ISO 14001 does not prescribe this form. No clause asks for this worksheet, its columns or a register of market claims; the standard sets requirements and leaves the means to the organisation. This sheet is a working aid drawn from the book: use it, change it or set it aside. Where it touches a requirement, the text of ISO 14001:2026 is the authority, not this page — and nothing on it replaces your own reading of that text.</w:t>
            </w:r>
          </w:p>
        </w:tc>
      </w:tr>
    </w:tbl>
    <w:p>
      <w:pPr>
        <w:spacing w:after="40"/>
      </w:pPr>
    </w:p>
    <w:p>
      <w:pPr>
        <w:spacing w:after="80" w:before="80"/>
      </w:pPr>
      <w:r>
        <w:rPr>
          <w:b w:val="0"/>
          <w:i w:val="0"/>
          <w:color w:val="9A7B2E"/>
          <w:sz w:val="16"/>
        </w:rPr>
        <w:t>Source: Francesco Dore, The Helm and the Lens, Volume 1a — ISO 14001:2026, subchapter 1.12. Edizioni Effedore 2026. © 2026 Francesco Dore. Free to adapt for use in your own property. enbooks.effedore.com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color w:val="5A5A5A"/>
        <w:sz w:val="16"/>
      </w:rPr>
      <w:t xml:space="preserve">The Helm and the Lens · Volume 1a · Working material 1.12 · enbooks.effedore.com · page </w:t>
    </w:r>
    <w:r>
      <w:rPr>
        <w:color w:val="5A5A5A"/>
        <w:sz w:val="16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4" w:color="C9BBA6"/>
      </w:pBdr>
    </w:pPr>
    <w:r/>
    <w:r>
      <w:rPr>
        <w:b/>
        <w:color w:val="9A7B2E"/>
        <w:sz w:val="17"/>
      </w:rPr>
      <w:t>The Helm and the Lens · Volume 1a · ISO 14001:2026 — The Helm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Aptos" w:hAnsi="Aptos" w:cs="Aptos" w:eastAsia="Aptos"/>
      <w:color w:val="222222"/>
      <w:sz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