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1.13</w:t>
      </w:r>
    </w:p>
    <w:p>
      <w:pPr>
        <w:keepNext/>
        <w:spacing w:after="40" w:before="0"/>
      </w:pPr>
      <w:r>
        <w:rPr>
          <w:b/>
          <w:i w:val="0"/>
          <w:color w:val="1B2A4A"/>
          <w:sz w:val="40"/>
        </w:rPr>
        <w:t>The Life Cycle Perspective in a Hotel</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1.13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hotel’s recycling bins are the easiest environmental aspect in the entire building to see, photograph, and be proud of. What happens to their contents in the hour after they leave the loading dock is the hardest to see — and it decides whether the sorting meant anything.</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A well-designed on-site sorting programme satisfies clause 6.1.2’s life cycle requirement on its own</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requirement extends to stages the organisation can influence, including how a contracted waste hauler actually processes what it collects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The standard requires a detailed, formal life cycle assessment for every significant aspect</w:t>
            </w:r>
          </w:p>
        </w:tc>
        <w:tc>
          <w:tcPr>
            <w:tcW w:type="dxa" w:w="1191"/>
          </w:tcPr>
          <w:p>
            <w:pPr>
              <w:spacing w:after="0"/>
            </w:pPr>
            <w:r/>
            <w:r>
              <w:rPr>
                <w:b w:val="0"/>
                <w:i w:val="0"/>
                <w:sz w:val="17"/>
              </w:rPr>
              <w:t>No</w:t>
            </w:r>
          </w:p>
        </w:tc>
        <w:tc>
          <w:tcPr>
            <w:tcW w:type="dxa" w:w="3515"/>
          </w:tcPr>
          <w:p>
            <w:pPr>
              <w:spacing w:after="0"/>
            </w:pPr>
            <w:r/>
            <w:r>
              <w:rPr>
                <w:b w:val="0"/>
                <w:i w:val="0"/>
                <w:sz w:val="17"/>
              </w:rPr>
              <w:t>Annex A explicitly states that a detailed life cycle assessment is not required; general, proportionate consideration of relevant stages is sufficient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Once waste leaves the property in a contracted hauler’s vehicle, it is outside the organisation’s environmental responsibility</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organisation retains influence through its choice of contractor and the terms of that relationship, which the life cycle perspective expects it to exercise</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diversion-from-landfill percentage calculated from what leaves a building, without downstream verification, is an accurate measure of environmental performance</w:t>
            </w:r>
          </w:p>
        </w:tc>
        <w:tc>
          <w:tcPr>
            <w:tcW w:type="dxa" w:w="1191"/>
          </w:tcPr>
          <w:p>
            <w:pPr>
              <w:spacing w:after="0"/>
            </w:pPr>
            <w:r/>
            <w:r>
              <w:rPr>
                <w:b w:val="0"/>
                <w:i w:val="0"/>
                <w:sz w:val="17"/>
              </w:rPr>
              <w:t>No</w:t>
            </w:r>
          </w:p>
        </w:tc>
        <w:tc>
          <w:tcPr>
            <w:tcW w:type="dxa" w:w="3515"/>
          </w:tcPr>
          <w:p>
            <w:pPr>
              <w:spacing w:after="0"/>
            </w:pPr>
            <w:r/>
            <w:r>
              <w:rPr>
                <w:b w:val="0"/>
                <w:i w:val="0"/>
                <w:sz w:val="17"/>
              </w:rPr>
              <w:t>Such a figure measures sorting effort at the point of departure, not verified environmental outcome — presenting it as the latter without verification is a claim the organisation cannot actually support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Verifying a waste contractor’s downstream processing is the contractor’s responsibility, not the hotel’s</w:t>
            </w:r>
          </w:p>
        </w:tc>
        <w:tc>
          <w:tcPr>
            <w:tcW w:type="dxa" w:w="1191"/>
            <w:shd w:val="clear" w:color="auto" w:fill="F3EFE6"/>
          </w:tcPr>
          <w:p>
            <w:pPr>
              <w:spacing w:after="0"/>
            </w:pPr>
            <w:r/>
            <w:r>
              <w:rPr>
                <w:b w:val="0"/>
                <w:i w:val="0"/>
                <w:sz w:val="17"/>
              </w:rPr>
              <w:t>Not under clause 6.1.2</w:t>
            </w:r>
          </w:p>
        </w:tc>
        <w:tc>
          <w:tcPr>
            <w:tcW w:type="dxa" w:w="3515"/>
            <w:shd w:val="clear" w:color="auto" w:fill="F3EFE6"/>
          </w:tcPr>
          <w:p>
            <w:pPr>
              <w:spacing w:after="0"/>
            </w:pPr>
            <w:r/>
            <w:r>
              <w:rPr>
                <w:b w:val="0"/>
                <w:i w:val="0"/>
                <w:sz w:val="17"/>
              </w:rPr>
              <w:t>The organisation determining its own aspects under this clause is required to consider the life cycle perspective itself, regardless of which party physically performs each stage</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Reporting an unverified diversion figure to a client’s sustainability questionnaire carries no consequence if the figure was calculated in good faith</w:t>
            </w:r>
          </w:p>
        </w:tc>
        <w:tc>
          <w:tcPr>
            <w:tcW w:type="dxa" w:w="1191"/>
          </w:tcPr>
          <w:p>
            <w:pPr>
              <w:spacing w:after="0"/>
            </w:pPr>
            <w:r/>
            <w:r>
              <w:rPr>
                <w:b w:val="0"/>
                <w:i w:val="0"/>
                <w:sz w:val="17"/>
              </w:rPr>
              <w:t>Not addressed by 6.1.2 directly, but relevant elsewhere</w:t>
            </w:r>
          </w:p>
        </w:tc>
        <w:tc>
          <w:tcPr>
            <w:tcW w:type="dxa" w:w="3515"/>
          </w:tcPr>
          <w:p>
            <w:pPr>
              <w:spacing w:after="0"/>
            </w:pPr>
            <w:r/>
            <w:r>
              <w:rPr>
                <w:b w:val="0"/>
                <w:i w:val="0"/>
                <w:sz w:val="17"/>
              </w:rPr>
              <w:t>A good-faith calculation still requires a factual basis; an unverified figure presented as verified performance carries reputational and contractual risk entirely separate from the standard’s own requirements</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Life Cycle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What is our single most externally publicised environmental performance figure, and has anyone verified it beyond our own property boundary?</w:t>
            </w:r>
          </w:p>
        </w:tc>
        <w:tc>
          <w:tcPr>
            <w:tcW w:type="dxa" w:w="2948"/>
            <w:shd w:val="clear" w:color="auto" w:fill="F3EFE6"/>
          </w:tcPr>
          <w:p>
            <w:pPr>
              <w:spacing w:after="0"/>
            </w:pPr>
            <w:r/>
            <w:r>
              <w:rPr>
                <w:b w:val="0"/>
                <w:i w:val="0"/>
                <w:sz w:val="17"/>
              </w:rPr>
              <w:t>The exact question that would have surfaced Bangkok’s gap before a client’s own due diligence did</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Do our contracts with waste, supply, and service partners include any right to verify their actual practice, or only their claimed practice?</w:t>
            </w:r>
          </w:p>
        </w:tc>
        <w:tc>
          <w:tcPr>
            <w:tcW w:type="dxa" w:w="2948"/>
          </w:tcPr>
          <w:p>
            <w:pPr>
              <w:spacing w:after="0"/>
            </w:pPr>
            <w:r/>
            <w:r>
              <w:rPr>
                <w:b w:val="0"/>
                <w:i w:val="0"/>
                <w:sz w:val="17"/>
              </w:rPr>
              <w:t>Without contractual access, verification depends entirely on a partner’s voluntary cooperation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Have we distinguished which aspects genuinely warrant direct verification from those where lighter awareness is proportionate?</w:t>
            </w:r>
          </w:p>
        </w:tc>
        <w:tc>
          <w:tcPr>
            <w:tcW w:type="dxa" w:w="2948"/>
            <w:shd w:val="clear" w:color="auto" w:fill="F3EFE6"/>
          </w:tcPr>
          <w:p>
            <w:pPr>
              <w:spacing w:after="0"/>
            </w:pPr>
            <w:r/>
            <w:r>
              <w:rPr>
                <w:b w:val="0"/>
                <w:i w:val="0"/>
                <w:sz w:val="17"/>
              </w:rPr>
              <w:t>Over-verification wastes resource; under-verification leaves material claims unchecked — both are errors</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If a downstream or upstream gap were discovered tomorrow, would we disclose it proactively or wait to be found?</w:t>
            </w:r>
          </w:p>
        </w:tc>
        <w:tc>
          <w:tcPr>
            <w:tcW w:type="dxa" w:w="2948"/>
          </w:tcPr>
          <w:p>
            <w:pPr>
              <w:spacing w:after="0"/>
            </w:pPr>
            <w:r/>
            <w:r>
              <w:rPr>
                <w:b w:val="0"/>
                <w:i w:val="0"/>
                <w:sz w:val="17"/>
              </w:rPr>
              <w:t>The Bangkok case suggests proactive disclosure costs less than it appears to, and discovery costs more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Is verification a standing, periodic practice, or a one-time response to a specific concern?</w:t>
            </w:r>
          </w:p>
        </w:tc>
        <w:tc>
          <w:tcPr>
            <w:tcW w:type="dxa" w:w="2948"/>
            <w:shd w:val="clear" w:color="auto" w:fill="F3EFE6"/>
          </w:tcPr>
          <w:p>
            <w:pPr>
              <w:spacing w:after="0"/>
            </w:pPr>
            <w:r/>
            <w:r>
              <w:rPr>
                <w:b w:val="0"/>
                <w:i w:val="0"/>
                <w:sz w:val="17"/>
              </w:rPr>
              <w:t>A gap comparable to Bangkok’s can persist indefinitely without a standing practice to catch it</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an environmental aspect as fully addressed once it leaves the property’s direct physical control.</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Calculating and reporting a performance metric based on effort at the point of departure rather than verified downstream outcome.</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 specialist contractor’s processing claims are accurate without independent verification.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Believing the standard requires a full, detailed life cycle assessment, and avoiding life-cycle thinking entirely to escape that perceived burden.</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Publicising a specific, checkable performance figure to a client or the public without a genuine basis for verifying it.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Responding to a discovered gap by softening public language rather than closing the underlying verification gap.</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build verification access into contracts with waste, supply, or service partners.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downstream verification as the contracted partner’s responsibility rather than the organisation’s own under clause 6.1.2.</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Conducting a one-time investigation only after a specific concern arises, rather than a standing periodic verification practice.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an upstream supply chain aspect is outside the organisation’s scope because production happens at a supplier’s own facility.</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For the property’s single most publicised environmental performance claim — whichever figure appears most prominently in marketing or client communications — ask directly: has anyone verified this beyond the point where the property’s own direct control ends?</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Build verification access into contracts with waste, supply, and service partners as a standard term, not an exception; and apply the downstream-verification question systematically across every significant aspect, not only the one that happened to prompt the first investigation.</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Establish a standing, periodic physical verification practice for the property’s primary downstream and upstream partners — a scheduled site visit or documented evidence request, not a one-time exercise triggered only when a specific concern arises.</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1.13.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1.13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