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i w:val="0"/>
          <w:color w:val="9A7B2E"/>
          <w:sz w:val="18"/>
        </w:rPr>
        <w:t>Working Material 1.14</w:t>
      </w:r>
    </w:p>
    <w:p>
      <w:pPr>
        <w:keepNext/>
        <w:spacing w:after="40" w:before="0"/>
      </w:pPr>
      <w:r>
        <w:rPr>
          <w:b/>
          <w:i w:val="0"/>
          <w:color w:val="1B2A4A"/>
          <w:sz w:val="40"/>
        </w:rPr>
        <w:t>Environmental Conditions: Beyond Climate Alone</w:t>
      </w:r>
    </w:p>
    <w:p>
      <w:pPr>
        <w:spacing w:after="160" w:before="0"/>
      </w:pPr>
      <w:r>
        <w:rPr>
          <w:b w:val="0"/>
          <w:i/>
          <w:color w:val="5A5A5A"/>
          <w:sz w:val="17"/>
        </w:rPr>
        <w:t>ISO 14001:2026 · Material date: 25 October 2026</w:t>
      </w:r>
    </w:p>
    <w:p>
      <w:pPr>
        <w:spacing w:after="160" w:before="0"/>
      </w:pPr>
      <w:r>
        <w:rPr>
          <w:b w:val="0"/>
          <w:i/>
          <w:color w:val="333333"/>
          <w:sz w:val="19"/>
        </w:rPr>
        <w:t>This sheet puts the working parts of subchapter 1.14 into editable form: the Verification Pact, the review questions, the common mistakes as a self-check and the Operative Synthesis as an action plan. The empty columns are for your property. The reasoning behind each row is in the book.</w:t>
      </w: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3EFE6"/>
            <w:tcBorders>
              <w:left w:val="single" w:sz="24" w:space="0" w:color="9A7B2E"/>
              <w:top w:val="single" w:sz="4" w:space="0" w:color="F3EFE6"/>
              <w:bottom w:val="single" w:sz="4" w:space="0" w:color="F3EFE6"/>
              <w:right w:val="single" w:sz="4" w:space="0" w:color="F3EFE6"/>
            </w:tcBorders>
          </w:tcPr>
          <w:p>
            <w:pPr>
              <w:spacing w:after="60"/>
            </w:pPr>
            <w:r>
              <w:rPr>
                <w:b/>
                <w:color w:val="9A7B2E"/>
                <w:sz w:val="17"/>
              </w:rPr>
              <w:t>GUIDING QUESTION</w:t>
            </w:r>
          </w:p>
          <w:p>
            <w:pPr>
              <w:spacing w:after="40"/>
            </w:pPr>
            <w:r>
              <w:rPr>
                <w:i w:val="0"/>
                <w:color w:val="1B2A4A"/>
                <w:sz w:val="21"/>
              </w:rPr>
              <w:t>A consultancy sold a twenty-eight-room hotel a corporate climate disclosure package and called it a certification requirement. The standard was asking a different question entirely — and about more than climate. What did it actually ask, and how much of the invoice was ever about it?</w:t>
            </w:r>
          </w:p>
        </w:tc>
      </w:tr>
    </w:tbl>
    <w:p>
      <w:pPr>
        <w:spacing w:after="40"/>
      </w:pPr>
    </w:p>
    <w:p>
      <w:pPr>
        <w:keepNext/>
        <w:spacing w:after="80" w:before="200"/>
      </w:pPr>
      <w:r>
        <w:rPr>
          <w:b/>
          <w:i w:val="0"/>
          <w:color w:val="9A7B2E"/>
          <w:sz w:val="26"/>
        </w:rPr>
        <w:t>Verification Pact: Market Claims Against the Standard</w:t>
      </w:r>
    </w:p>
    <w:p>
      <w:pPr>
        <w:keepNext/>
        <w:spacing w:after="80" w:before="0"/>
      </w:pPr>
      <w:r>
        <w:rPr>
          <w:b w:val="0"/>
          <w:i/>
          <w:color w:val="5A5A5A"/>
          <w:sz w:val="18"/>
        </w:rPr>
        <w:t>The first three columns are copied from the book. In the last one, note whether this claim circulates in your property — in a proposal, a brochure, a supplier’s pitch or your own documents — and what you now hold instead.</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2551"/>
        <w:gridCol w:w="1190"/>
        <w:gridCol w:w="3515"/>
        <w:gridCol w:w="2381"/>
      </w:tblGrid>
      <w:tr>
        <w:trPr>
          <w:tblHeader w:val="true"/>
        </w:trPr>
        <w:tc>
          <w:tcPr>
            <w:tcW w:type="dxa" w:w="2551"/>
            <w:shd w:val="clear" w:color="auto" w:fill="1B2A4A"/>
          </w:tcPr>
          <w:p>
            <w:pPr>
              <w:spacing w:after="0"/>
            </w:pPr>
            <w:r/>
            <w:r>
              <w:rPr>
                <w:b/>
                <w:i w:val="0"/>
                <w:color w:val="FFFFFF"/>
                <w:sz w:val="17"/>
              </w:rPr>
              <w:t>Market claim</w:t>
            </w:r>
          </w:p>
        </w:tc>
        <w:tc>
          <w:tcPr>
            <w:tcW w:type="dxa" w:w="1191"/>
            <w:shd w:val="clear" w:color="auto" w:fill="1B2A4A"/>
          </w:tcPr>
          <w:p>
            <w:pPr>
              <w:spacing w:after="0"/>
            </w:pPr>
            <w:r/>
            <w:r>
              <w:rPr>
                <w:b/>
                <w:i w:val="0"/>
                <w:color w:val="FFFFFF"/>
                <w:sz w:val="17"/>
              </w:rPr>
              <w:t>Binding?</w:t>
            </w:r>
          </w:p>
        </w:tc>
        <w:tc>
          <w:tcPr>
            <w:tcW w:type="dxa" w:w="3515"/>
            <w:shd w:val="clear" w:color="auto" w:fill="1B2A4A"/>
          </w:tcPr>
          <w:p>
            <w:pPr>
              <w:spacing w:after="0"/>
            </w:pPr>
            <w:r/>
            <w:r>
              <w:rPr>
                <w:b/>
                <w:i w:val="0"/>
                <w:color w:val="FFFFFF"/>
                <w:sz w:val="17"/>
              </w:rPr>
              <w:t>What actually holds</w:t>
            </w:r>
          </w:p>
        </w:tc>
        <w:tc>
          <w:tcPr>
            <w:tcW w:type="dxa" w:w="2381"/>
            <w:shd w:val="clear" w:color="auto" w:fill="1B2A4A"/>
          </w:tcPr>
          <w:p>
            <w:pPr>
              <w:spacing w:after="0"/>
            </w:pPr>
            <w:r/>
            <w:r>
              <w:rPr>
                <w:b/>
                <w:i w:val="0"/>
                <w:color w:val="FFFFFF"/>
                <w:sz w:val="17"/>
              </w:rPr>
              <w:t>In our property</w:t>
            </w:r>
          </w:p>
        </w:tc>
      </w:tr>
      <w:tr>
        <w:trPr>
          <w:cantSplit w:val="true"/>
        </w:trPr>
        <w:tc>
          <w:tcPr>
            <w:tcW w:type="dxa" w:w="2551"/>
            <w:shd w:val="clear" w:color="auto" w:fill="F3EFE6"/>
          </w:tcPr>
          <w:p>
            <w:pPr>
              <w:spacing w:after="0"/>
            </w:pPr>
            <w:r/>
            <w:r>
              <w:rPr>
                <w:b w:val="0"/>
                <w:i w:val="0"/>
                <w:sz w:val="17"/>
              </w:rPr>
              <w:t>The revised standard requires a formal Scope 1, 2 and 3 carbon footprint.</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The standard requires the organisation to determine which environmental conditions are relevant to its context, its risks and its opportunities. It names no emissions accounting methodology. Greenhouse gas quantification is the subject of separate standards within the ISO 14000 family, referenced in the bibliography rather than imposed as a requirement.</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ISO 14001 now requires alignment with the Task Force on Climate-related Financial Disclosures framework.</w:t>
            </w:r>
          </w:p>
        </w:tc>
        <w:tc>
          <w:tcPr>
            <w:tcW w:type="dxa" w:w="1191"/>
          </w:tcPr>
          <w:p>
            <w:pPr>
              <w:spacing w:after="0"/>
            </w:pPr>
            <w:r/>
            <w:r>
              <w:rPr>
                <w:b w:val="0"/>
                <w:i w:val="0"/>
                <w:sz w:val="17"/>
              </w:rPr>
              <w:t>No</w:t>
            </w:r>
          </w:p>
        </w:tc>
        <w:tc>
          <w:tcPr>
            <w:tcW w:type="dxa" w:w="3515"/>
          </w:tcPr>
          <w:p>
            <w:pPr>
              <w:spacing w:after="0"/>
            </w:pPr>
            <w:r/>
            <w:r>
              <w:rPr>
                <w:b w:val="0"/>
                <w:i w:val="0"/>
                <w:sz w:val="17"/>
              </w:rPr>
              <w:t>The standard makes no reference to the TCFD or to any other named external reporting framework. ISO 14001 sets the requirements for an environmental management system; it is not a climate-disclosure standard and does not adopt one.</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A formal science-based emissions reduction target is now a certification requirement.</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The standard requires environmental objectives relevant to the organisation’s own management system. It prescribes no target-setting methodology and no reduction pathway, and the term science-based appears nowhere in its text.</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The revision introduces a dedicated climate clause requiring separate climate documentation.</w:t>
            </w:r>
          </w:p>
        </w:tc>
        <w:tc>
          <w:tcPr>
            <w:tcW w:type="dxa" w:w="1191"/>
          </w:tcPr>
          <w:p>
            <w:pPr>
              <w:spacing w:after="0"/>
            </w:pPr>
            <w:r/>
            <w:r>
              <w:rPr>
                <w:b w:val="0"/>
                <w:i w:val="0"/>
                <w:sz w:val="17"/>
              </w:rPr>
              <w:t>No</w:t>
            </w:r>
          </w:p>
        </w:tc>
        <w:tc>
          <w:tcPr>
            <w:tcW w:type="dxa" w:w="3515"/>
          </w:tcPr>
          <w:p>
            <w:pPr>
              <w:spacing w:after="0"/>
            </w:pPr>
            <w:r/>
            <w:r>
              <w:rPr>
                <w:b w:val="0"/>
                <w:i w:val="0"/>
                <w:sz w:val="17"/>
              </w:rPr>
              <w:t>Clause 4 remains Context of the organisation, with context and interested parties as its opening subclauses. There is no standalone climate clause in the structure. Climate is integrated into the wider treatment of relevant environmental conditions, alongside the other examples the requirement gives.</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A property with limited climate exposure must still produce extensive climate documentation.</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The level of detail and complexity of the management system depends on the organisation’s context, scope, compliance obligations, activities, products, services and environmental aspects. What is required is a defensible determination of relevance, not a fixed minimum volume of paperwork.</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Certification bodies require evidence of external framework alignment before approving the transition.</w:t>
            </w:r>
          </w:p>
        </w:tc>
        <w:tc>
          <w:tcPr>
            <w:tcW w:type="dxa" w:w="1191"/>
          </w:tcPr>
          <w:p>
            <w:pPr>
              <w:spacing w:after="0"/>
            </w:pPr>
            <w:r/>
            <w:r>
              <w:rPr>
                <w:b w:val="0"/>
                <w:i w:val="0"/>
                <w:sz w:val="17"/>
              </w:rPr>
              <w:t>No</w:t>
            </w:r>
          </w:p>
        </w:tc>
        <w:tc>
          <w:tcPr>
            <w:tcW w:type="dxa" w:w="3515"/>
          </w:tcPr>
          <w:p>
            <w:pPr>
              <w:spacing w:after="0"/>
            </w:pPr>
            <w:r/>
            <w:r>
              <w:rPr>
                <w:b w:val="0"/>
                <w:i w:val="0"/>
                <w:sz w:val="17"/>
              </w:rPr>
              <w:t>The standard specifies the management system requirements used for conformity assessment. It does not make conformity with unrelated external climate-reporting frameworks a precondition for certification. Any such requirement imposed contractually by a scheme owner or a customer is a separate obligation and should be identified as one.</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Biodiversity now requires a formal ecological survey of the site.</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Biodiversity is explicitly part of the environmental context that may be relevant, and the standard’s own definition of the environment refers to biodiversity and ecosystems as ways in which environmental surroundings can be described. No site ecological survey is prescribed as the method by which an organisation must reach that understanding.</w:t>
            </w:r>
          </w:p>
        </w:tc>
        <w:tc>
          <w:tcPr>
            <w:tcW w:type="dxa" w:w="2381"/>
            <w:shd w:val="clear" w:color="auto" w:fill="FFFFFF"/>
          </w:tcPr>
          <w:p>
            <w:pPr>
              <w:spacing w:after="0"/>
            </w:pPr>
            <w:r/>
            <w:r>
              <w:rPr>
                <w:b w:val="0"/>
                <w:i w:val="0"/>
                <w:sz w:val="17"/>
              </w:rPr>
            </w:r>
          </w:p>
        </w:tc>
      </w:tr>
    </w:tbl>
    <w:p>
      <w:pPr>
        <w:keepNext/>
        <w:spacing w:after="80" w:before="200"/>
      </w:pPr>
      <w:r>
        <w:rPr>
          <w:b/>
          <w:i w:val="0"/>
          <w:color w:val="9A7B2E"/>
          <w:sz w:val="26"/>
        </w:rPr>
        <w:t>A Checklist for the Next Revision or Standard Change</w:t>
      </w:r>
    </w:p>
    <w:p>
      <w:pPr>
        <w:keepNext/>
        <w:spacing w:after="80" w:before="0"/>
      </w:pPr>
      <w:r>
        <w:rPr>
          <w:b w:val="0"/>
          <w:i/>
          <w:color w:val="5A5A5A"/>
          <w:sz w:val="18"/>
        </w:rPr>
        <w:t>Answer each question with Yes, Partly, No or N.A., and name the evidence: a record, a date, a person, a place someone can go and look. An answer without evidence is an opinion.</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3061"/>
        <w:gridCol w:w="2948"/>
        <w:gridCol w:w="1020"/>
        <w:gridCol w:w="2608"/>
      </w:tblGrid>
      <w:tr>
        <w:trPr>
          <w:tblHeader w:val="true"/>
        </w:trPr>
        <w:tc>
          <w:tcPr>
            <w:tcW w:type="dxa" w:w="3061"/>
            <w:shd w:val="clear" w:color="auto" w:fill="1B2A4A"/>
          </w:tcPr>
          <w:p>
            <w:pPr>
              <w:spacing w:after="0"/>
            </w:pPr>
            <w:r/>
            <w:r>
              <w:rPr>
                <w:b/>
                <w:i w:val="0"/>
                <w:color w:val="FFFFFF"/>
                <w:sz w:val="17"/>
              </w:rPr>
              <w:t>Question</w:t>
            </w:r>
          </w:p>
        </w:tc>
        <w:tc>
          <w:tcPr>
            <w:tcW w:type="dxa" w:w="2948"/>
            <w:shd w:val="clear" w:color="auto" w:fill="1B2A4A"/>
          </w:tcPr>
          <w:p>
            <w:pPr>
              <w:spacing w:after="0"/>
            </w:pPr>
            <w:r/>
            <w:r>
              <w:rPr>
                <w:b/>
                <w:i w:val="0"/>
                <w:color w:val="FFFFFF"/>
                <w:sz w:val="17"/>
              </w:rPr>
              <w:t>Why it matters</w:t>
            </w:r>
          </w:p>
        </w:tc>
        <w:tc>
          <w:tcPr>
            <w:tcW w:type="dxa" w:w="1020"/>
            <w:shd w:val="clear" w:color="auto" w:fill="1B2A4A"/>
          </w:tcPr>
          <w:p>
            <w:pPr>
              <w:spacing w:after="0"/>
            </w:pPr>
            <w:r/>
            <w:r>
              <w:rPr>
                <w:b/>
                <w:i w:val="0"/>
                <w:color w:val="FFFFFF"/>
                <w:sz w:val="17"/>
              </w:rPr>
              <w:t>Answer</w:t>
            </w:r>
          </w:p>
        </w:tc>
        <w:tc>
          <w:tcPr>
            <w:tcW w:type="dxa" w:w="2608"/>
            <w:shd w:val="clear" w:color="auto" w:fill="1B2A4A"/>
          </w:tcPr>
          <w:p>
            <w:pPr>
              <w:spacing w:after="0"/>
            </w:pPr>
            <w:r/>
            <w:r>
              <w:rPr>
                <w:b/>
                <w:i w:val="0"/>
                <w:color w:val="FFFFFF"/>
                <w:sz w:val="17"/>
              </w:rPr>
              <w:t>Evidence</w:t>
            </w:r>
          </w:p>
        </w:tc>
      </w:tr>
      <w:tr>
        <w:trPr>
          <w:cantSplit w:val="true"/>
          <w:trHeight w:val="680" w:hRule="atLeast"/>
        </w:trPr>
        <w:tc>
          <w:tcPr>
            <w:tcW w:type="dxa" w:w="3061"/>
            <w:shd w:val="clear" w:color="auto" w:fill="F3EFE6"/>
          </w:tcPr>
          <w:p>
            <w:pPr>
              <w:spacing w:after="0"/>
            </w:pPr>
            <w:r/>
            <w:r>
              <w:rPr>
                <w:b w:val="0"/>
                <w:i w:val="0"/>
                <w:sz w:val="17"/>
              </w:rPr>
              <w:t>What, specifically, does the revision add to the standard’s own text?</w:t>
            </w:r>
          </w:p>
        </w:tc>
        <w:tc>
          <w:tcPr>
            <w:tcW w:type="dxa" w:w="2948"/>
            <w:shd w:val="clear" w:color="auto" w:fill="F3EFE6"/>
          </w:tcPr>
          <w:p>
            <w:pPr>
              <w:spacing w:after="0"/>
            </w:pPr>
            <w:r/>
            <w:r>
              <w:rPr>
                <w:b w:val="0"/>
                <w:i w:val="0"/>
                <w:sz w:val="17"/>
              </w:rPr>
              <w:t>This is answerable directly from the standard itself, before any proposal is evaluated</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Does the proposed scope of work match that specific addition, or does it import a broader external framework in its name?</w:t>
            </w:r>
          </w:p>
        </w:tc>
        <w:tc>
          <w:tcPr>
            <w:tcW w:type="dxa" w:w="2948"/>
          </w:tcPr>
          <w:p>
            <w:pPr>
              <w:spacing w:after="0"/>
            </w:pPr>
            <w:r/>
            <w:r>
              <w:rPr>
                <w:b w:val="0"/>
                <w:i w:val="0"/>
                <w:sz w:val="17"/>
              </w:rPr>
              <w:t>The single distinction the Edinburgh case turns on</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Does the proposal consider the range of conditions the text gives as examples, and any others relevant here, or only the one currently in fashion?</w:t>
            </w:r>
          </w:p>
        </w:tc>
        <w:tc>
          <w:tcPr>
            <w:tcW w:type="dxa" w:w="2948"/>
            <w:shd w:val="clear" w:color="auto" w:fill="F3EFE6"/>
          </w:tcPr>
          <w:p>
            <w:pPr>
              <w:spacing w:after="0"/>
            </w:pPr>
            <w:r/>
            <w:r>
              <w:rPr>
                <w:b w:val="0"/>
                <w:i w:val="0"/>
                <w:sz w:val="17"/>
              </w:rPr>
              <w:t>The second, quieter failure at Edinburgh — and the more expensive one in the long run</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Is the proposed approach proportionate to this property’s actual scale and exposure?</w:t>
            </w:r>
          </w:p>
        </w:tc>
        <w:tc>
          <w:tcPr>
            <w:tcW w:type="dxa" w:w="2948"/>
          </w:tcPr>
          <w:p>
            <w:pPr>
              <w:spacing w:after="0"/>
            </w:pPr>
            <w:r/>
            <w:r>
              <w:rPr>
                <w:b w:val="0"/>
                <w:i w:val="0"/>
                <w:sz w:val="17"/>
              </w:rPr>
              <w:t>A framework built for a large listed corporation rarely transfers proportionately to a small independent property</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Does the resulting documentation connect explicitly to our existing context, interested-parties and aspects analysis?</w:t>
            </w:r>
          </w:p>
        </w:tc>
        <w:tc>
          <w:tcPr>
            <w:tcW w:type="dxa" w:w="2948"/>
            <w:shd w:val="clear" w:color="auto" w:fill="F3EFE6"/>
          </w:tcPr>
          <w:p>
            <w:pPr>
              <w:spacing w:after="0"/>
            </w:pPr>
            <w:r/>
            <w:r>
              <w:rPr>
                <w:b w:val="0"/>
                <w:i w:val="0"/>
                <w:sz w:val="17"/>
              </w:rPr>
              <w:t>A standalone document, however polished, does not satisfy a clause requiring integration into the organisation’s actual planning</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Have we asked our certification body directly what it actually expects to see?</w:t>
            </w:r>
          </w:p>
        </w:tc>
        <w:tc>
          <w:tcPr>
            <w:tcW w:type="dxa" w:w="2948"/>
          </w:tcPr>
          <w:p>
            <w:pPr>
              <w:spacing w:after="0"/>
            </w:pPr>
            <w:r/>
            <w:r>
              <w:rPr>
                <w:b w:val="0"/>
                <w:i w:val="0"/>
                <w:sz w:val="17"/>
              </w:rPr>
              <w:t>Certification bodies can usually answer this directly and at no cost, before any fee is committed</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bl>
    <w:p>
      <w:pPr>
        <w:keepNext/>
        <w:spacing w:after="80" w:before="200"/>
      </w:pPr>
      <w:r>
        <w:rPr>
          <w:b/>
          <w:i w:val="0"/>
          <w:color w:val="9A7B2E"/>
          <w:sz w:val="26"/>
        </w:rPr>
        <w:t>Common Mistakes — Self-Check</w:t>
      </w:r>
    </w:p>
    <w:p>
      <w:pPr>
        <w:keepNext/>
        <w:spacing w:after="80" w:before="0"/>
      </w:pPr>
      <w:r>
        <w:rPr>
          <w:b w:val="0"/>
          <w:i/>
          <w:color w:val="5A5A5A"/>
          <w:sz w:val="18"/>
        </w:rPr>
        <w:t>Tick every mistake you recognise in your own property today, and write next to it where you saw it. A ticked box is not a nonconformity; it is a place to look before an auditor or an incident does.</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510"/>
        <w:gridCol w:w="5726"/>
        <w:gridCol w:w="3402"/>
      </w:tblGrid>
      <w:tr>
        <w:trPr>
          <w:tblHeader w:val="true"/>
        </w:trPr>
        <w:tc>
          <w:tcPr>
            <w:tcW w:type="dxa" w:w="510"/>
            <w:shd w:val="clear" w:color="auto" w:fill="1B2A4A"/>
          </w:tcPr>
          <w:p>
            <w:pPr>
              <w:spacing w:after="0"/>
            </w:pPr>
            <w:r/>
            <w:r>
              <w:rPr>
                <w:b/>
                <w:i w:val="0"/>
                <w:color w:val="FFFFFF"/>
                <w:sz w:val="17"/>
              </w:rPr>
              <w:t>☐</w:t>
            </w:r>
          </w:p>
        </w:tc>
        <w:tc>
          <w:tcPr>
            <w:tcW w:type="dxa" w:w="5726"/>
            <w:shd w:val="clear" w:color="auto" w:fill="1B2A4A"/>
          </w:tcPr>
          <w:p>
            <w:pPr>
              <w:spacing w:after="0"/>
            </w:pPr>
            <w:r/>
            <w:r>
              <w:rPr>
                <w:b/>
                <w:i w:val="0"/>
                <w:color w:val="FFFFFF"/>
                <w:sz w:val="17"/>
              </w:rPr>
              <w:t>Mistake (from the book)</w:t>
            </w:r>
          </w:p>
        </w:tc>
        <w:tc>
          <w:tcPr>
            <w:tcW w:type="dxa" w:w="3402"/>
            <w:shd w:val="clear" w:color="auto" w:fill="1B2A4A"/>
          </w:tcPr>
          <w:p>
            <w:pPr>
              <w:spacing w:after="0"/>
            </w:pPr>
            <w:r/>
            <w:r>
              <w:rPr>
                <w:b/>
                <w:i w:val="0"/>
                <w:color w:val="FFFFFF"/>
                <w:sz w:val="17"/>
              </w:rPr>
              <w:t>Where we see it</w:t>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Accepting a consultancy’s description of what a standard revision requires without checking it against the standard’s own text.</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Treating climate change as the whole of the environmental context, when the text names several conditions.</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Conflating voluntary corporate best practice with mandatory certification requirements.</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Applying a framework designed for large, publicly listed corporations to a small independent property without adjusting for scale.</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Producing extensive environmental documentation disconnected from the property’s own significant aspects register.</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Overcorrecting against market inflation by making no documented determination at all.</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Assuming certification bodies require external framework alignment that the standard itself does not mention.</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Treating anxiety about certification risk as a reason to approve disproportionate scope rather than to verify it.</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Failing to distinguish, in any proposal referencing a recent standard change, what the change itself requires from what the proposing party additionally recommends.</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Discarding genuinely useful data gathered during an inflated engagement rather than repositioning it as optional operational value.</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Assuming a property with limited exposure to one condition must still produce the same volume of documentation as one with significant exposure.</w:t>
            </w:r>
          </w:p>
        </w:tc>
        <w:tc>
          <w:tcPr>
            <w:tcW w:type="dxa" w:w="3402"/>
            <w:shd w:val="clear" w:color="auto" w:fill="FFFFFF"/>
          </w:tcPr>
          <w:p>
            <w:pPr>
              <w:spacing w:after="0"/>
            </w:pPr>
            <w:r/>
            <w:r>
              <w:rPr>
                <w:b w:val="0"/>
                <w:i w:val="0"/>
                <w:sz w:val="17"/>
              </w:rPr>
            </w:r>
          </w:p>
        </w:tc>
      </w:tr>
    </w:tbl>
    <w:p>
      <w:pPr>
        <w:keepNext/>
        <w:spacing w:after="80" w:before="200"/>
      </w:pPr>
      <w:r>
        <w:rPr>
          <w:b/>
          <w:i w:val="0"/>
          <w:color w:val="9A7B2E"/>
          <w:sz w:val="26"/>
        </w:rPr>
        <w:t>Operative Synthesis — Action Plan</w:t>
      </w:r>
    </w:p>
    <w:p>
      <w:pPr>
        <w:keepNext/>
        <w:spacing w:after="80" w:before="0"/>
      </w:pPr>
      <w:r>
        <w:rPr>
          <w:b w:val="0"/>
          <w:i/>
          <w:color w:val="5A5A5A"/>
          <w:sz w:val="18"/>
        </w:rPr>
        <w:t>The three horizons and their actions are copied from the book. Owner and due date are yours to fill: an action without both is a wish.</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1587"/>
        <w:gridCol w:w="5329"/>
        <w:gridCol w:w="1474"/>
        <w:gridCol w:w="1247"/>
      </w:tblGrid>
      <w:tr>
        <w:trPr>
          <w:tblHeader w:val="true"/>
        </w:trPr>
        <w:tc>
          <w:tcPr>
            <w:tcW w:type="dxa" w:w="1587"/>
            <w:shd w:val="clear" w:color="auto" w:fill="1B2A4A"/>
          </w:tcPr>
          <w:p>
            <w:pPr>
              <w:spacing w:after="0"/>
            </w:pPr>
            <w:r/>
            <w:r>
              <w:rPr>
                <w:b/>
                <w:i w:val="0"/>
                <w:color w:val="FFFFFF"/>
                <w:sz w:val="17"/>
              </w:rPr>
              <w:t>Horizon</w:t>
            </w:r>
          </w:p>
        </w:tc>
        <w:tc>
          <w:tcPr>
            <w:tcW w:type="dxa" w:w="5329"/>
            <w:shd w:val="clear" w:color="auto" w:fill="1B2A4A"/>
          </w:tcPr>
          <w:p>
            <w:pPr>
              <w:spacing w:after="0"/>
            </w:pPr>
            <w:r/>
            <w:r>
              <w:rPr>
                <w:b/>
                <w:i w:val="0"/>
                <w:color w:val="FFFFFF"/>
                <w:sz w:val="17"/>
              </w:rPr>
              <w:t>Action from the book</w:t>
            </w:r>
          </w:p>
        </w:tc>
        <w:tc>
          <w:tcPr>
            <w:tcW w:type="dxa" w:w="1474"/>
            <w:shd w:val="clear" w:color="auto" w:fill="1B2A4A"/>
          </w:tcPr>
          <w:p>
            <w:pPr>
              <w:spacing w:after="0"/>
            </w:pPr>
            <w:r/>
            <w:r>
              <w:rPr>
                <w:b/>
                <w:i w:val="0"/>
                <w:color w:val="FFFFFF"/>
                <w:sz w:val="17"/>
              </w:rPr>
              <w:t>Owner</w:t>
            </w:r>
          </w:p>
        </w:tc>
        <w:tc>
          <w:tcPr>
            <w:tcW w:type="dxa" w:w="1247"/>
            <w:shd w:val="clear" w:color="auto" w:fill="1B2A4A"/>
          </w:tcPr>
          <w:p>
            <w:pPr>
              <w:spacing w:after="0"/>
            </w:pPr>
            <w:r/>
            <w:r>
              <w:rPr>
                <w:b/>
                <w:i w:val="0"/>
                <w:color w:val="FFFFFF"/>
                <w:sz w:val="17"/>
              </w:rPr>
              <w:t>Due date</w:t>
            </w:r>
          </w:p>
        </w:tc>
      </w:tr>
      <w:tr>
        <w:trPr>
          <w:cantSplit w:val="true"/>
        </w:trPr>
        <w:tc>
          <w:tcPr>
            <w:tcW w:type="dxa" w:w="1587"/>
            <w:shd w:val="clear" w:color="auto" w:fill="F3EFE6"/>
          </w:tcPr>
          <w:p>
            <w:pPr>
              <w:spacing w:after="0"/>
            </w:pPr>
            <w:r/>
            <w:r>
              <w:rPr>
                <w:b/>
                <w:i w:val="0"/>
                <w:sz w:val="17"/>
              </w:rPr>
              <w:t>Act on immediately</w:t>
            </w:r>
          </w:p>
        </w:tc>
        <w:tc>
          <w:tcPr>
            <w:tcW w:type="dxa" w:w="5329"/>
            <w:shd w:val="clear" w:color="auto" w:fill="F3EFE6"/>
          </w:tcPr>
          <w:p>
            <w:pPr>
              <w:spacing w:after="0"/>
            </w:pPr>
            <w:r/>
            <w:r>
              <w:rPr>
                <w:b w:val="0"/>
                <w:i w:val="0"/>
                <w:sz w:val="17"/>
              </w:rPr>
              <w:t>Locate the property’s own documented determination, if one exists, of which environmental conditions are relevant to its context and whether any interested party holds expectations connected to them. If one exists but names only climate, check whether the other conditions were considered and reasoned out, or simply never examined. If none exists, this is the specific, narrow gap the revision requires closing — nothing more elaborate is required to begin.</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tcPr>
          <w:p>
            <w:pPr>
              <w:spacing w:after="0"/>
            </w:pPr>
            <w:r/>
            <w:r>
              <w:rPr>
                <w:b/>
                <w:i w:val="0"/>
                <w:sz w:val="17"/>
              </w:rPr>
              <w:t>Plan for</w:t>
            </w:r>
          </w:p>
        </w:tc>
        <w:tc>
          <w:tcPr>
            <w:tcW w:type="dxa" w:w="5329"/>
          </w:tcPr>
          <w:p>
            <w:pPr>
              <w:spacing w:after="0"/>
            </w:pPr>
            <w:r/>
            <w:r>
              <w:rPr>
                <w:b w:val="0"/>
                <w:i w:val="0"/>
                <w:sz w:val="17"/>
              </w:rPr>
              <w:t>Before approving any proposal describing work as required by a recent standard change, request the specific clause reference and compare it directly against the standard’s own text; and ensure any determination made connects explicitly to the property’s existing context analysis, interested-parties register and significant aspects — not as a standalone document.</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shd w:val="clear" w:color="auto" w:fill="F3EFE6"/>
          </w:tcPr>
          <w:p>
            <w:pPr>
              <w:spacing w:after="0"/>
            </w:pPr>
            <w:r/>
            <w:r>
              <w:rPr>
                <w:b/>
                <w:i w:val="0"/>
                <w:sz w:val="17"/>
              </w:rPr>
              <w:t>Monitor going forward</w:t>
            </w:r>
          </w:p>
        </w:tc>
        <w:tc>
          <w:tcPr>
            <w:tcW w:type="dxa" w:w="5329"/>
            <w:shd w:val="clear" w:color="auto" w:fill="F3EFE6"/>
          </w:tcPr>
          <w:p>
            <w:pPr>
              <w:spacing w:after="0"/>
            </w:pPr>
            <w:r/>
            <w:r>
              <w:rPr>
                <w:b w:val="0"/>
                <w:i w:val="0"/>
                <w:sz w:val="17"/>
              </w:rPr>
              <w:t>Revisit the determination whenever the broader context analysis is revisited, treating environmental conditions as issues among the several that context review already covers, rather than as a separate compliance track requiring its own external consultancy relationship.</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bl>
    <w:p>
      <w:pPr>
        <w:spacing w:after="120" w:before="0"/>
      </w:pP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FFFFF"/>
            <w:tcBorders>
              <w:left w:val="single" w:sz="24" w:space="0" w:color="C9BBA6"/>
              <w:top w:val="single" w:sz="4" w:space="0" w:color="FFFFFF"/>
              <w:bottom w:val="single" w:sz="4" w:space="0" w:color="FFFFFF"/>
              <w:right w:val="single" w:sz="4" w:space="0" w:color="FFFFFF"/>
            </w:tcBorders>
          </w:tcPr>
          <w:p>
            <w:pPr>
              <w:spacing w:after="60"/>
            </w:pPr>
            <w:r>
              <w:rPr>
                <w:b/>
                <w:color w:val="5A5A5A"/>
                <w:sz w:val="17"/>
              </w:rPr>
              <w:t>WHAT THIS SHEET IS NOT</w:t>
            </w:r>
          </w:p>
          <w:p>
            <w:pPr>
              <w:spacing w:after="40"/>
            </w:pPr>
            <w:r>
              <w:rPr>
                <w:i/>
                <w:color w:val="333333"/>
                <w:sz w:val="18"/>
              </w:rPr>
              <w:t>ISO 14001 does not prescribe this form. No clause asks for this worksheet, its columns or a register of market claims; the standard sets requirements and leaves the means to the organisation. This sheet is a working aid drawn from the book: use it, change it or set it aside. Where it touches a requirement, the text of ISO 14001:2026 is the authority, not this page — and nothing on it replaces your own reading of that text.</w:t>
            </w:r>
          </w:p>
        </w:tc>
      </w:tr>
    </w:tbl>
    <w:p>
      <w:pPr>
        <w:spacing w:after="40"/>
      </w:pPr>
    </w:p>
    <w:p>
      <w:pPr>
        <w:spacing w:after="80" w:before="80"/>
      </w:pPr>
      <w:r>
        <w:rPr>
          <w:b w:val="0"/>
          <w:i w:val="0"/>
          <w:color w:val="9A7B2E"/>
          <w:sz w:val="16"/>
        </w:rPr>
        <w:t>Source: Francesco Dore, The Helm and the Lens, Volume 1a — ISO 14001:2026, subchapter 1.14. Edizioni Effedore 2026. © 2026 Francesco Dore. Free to adapt for use in your own property. enbooks.effedore.com</w:t>
      </w:r>
    </w:p>
    <w:sectPr w:rsidR="00FC693F" w:rsidRPr="0006063C" w:rsidSect="00034616">
      <w:headerReference w:type="default" r:id="rId9"/>
      <w:footerReference w:type="default" r:id="rId10"/>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A5A5A"/>
        <w:sz w:val="16"/>
      </w:rPr>
      <w:t xml:space="preserve">The Helm and the Lens · Volume 1a · Working material 1.14 · enbooks.effedore.com · page </w:t>
    </w:r>
    <w:r>
      <w:rPr>
        <w:color w:val="5A5A5A"/>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BBA6"/>
      </w:pBdr>
    </w:pPr>
    <w:r/>
    <w:r>
      <w:rPr>
        <w:b/>
        <w:color w:val="9A7B2E"/>
        <w:sz w:val="17"/>
      </w:rPr>
      <w:t>The Helm and the Lens · Volume 1a · ISO 14001:2026 — The Helm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