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1.2</w:t>
      </w:r>
    </w:p>
    <w:p>
      <w:pPr>
        <w:keepNext/>
        <w:spacing w:after="40" w:before="0"/>
      </w:pPr>
      <w:r>
        <w:rPr>
          <w:b/>
          <w:i w:val="0"/>
          <w:color w:val="1B2A4A"/>
          <w:sz w:val="40"/>
        </w:rPr>
        <w:t>Understanding the Organization and Its Context</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1.2 into editable form: the Verification Pact,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Every hotel can list its competitors, its market segment, and its ownership structure without hesitation. Far fewer can name the single external condition most likely to interrupt their operations within the next two years. Which list does a context analysis actually need to produce?</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ISO 14001 requires a formal PESTLE or SWOT analysis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Clause 4.1 requires the determination of relevant issues; it names no specific analytical method, and any method that produces a genuine determination satisfies it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context analysis, once written, satisfies the clause for the life of the certificate</w:t>
            </w:r>
          </w:p>
        </w:tc>
        <w:tc>
          <w:tcPr>
            <w:tcW w:type="dxa" w:w="1191"/>
          </w:tcPr>
          <w:p>
            <w:pPr>
              <w:spacing w:after="0"/>
            </w:pPr>
            <w:r/>
            <w:r>
              <w:rPr>
                <w:b w:val="0"/>
                <w:i w:val="0"/>
                <w:sz w:val="17"/>
              </w:rPr>
              <w:t>No</w:t>
            </w:r>
          </w:p>
        </w:tc>
        <w:tc>
          <w:tcPr>
            <w:tcW w:type="dxa" w:w="3515"/>
          </w:tcPr>
          <w:p>
            <w:pPr>
              <w:spacing w:after="0"/>
            </w:pPr>
            <w:r/>
            <w:r>
              <w:rPr>
                <w:b w:val="0"/>
                <w:i w:val="0"/>
                <w:sz w:val="17"/>
              </w:rPr>
              <w:t>The determination must stay relevant to the system, and changes in these issues are a required management review input; the review interval is the organisation’s chosen method</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Only external issues count as context under this clause</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names internal issues explicitly alongside external ones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context analysis must be a substantial standalone document</w:t>
            </w:r>
          </w:p>
        </w:tc>
        <w:tc>
          <w:tcPr>
            <w:tcW w:type="dxa" w:w="1191"/>
          </w:tcPr>
          <w:p>
            <w:pPr>
              <w:spacing w:after="0"/>
            </w:pPr>
            <w:r/>
            <w:r>
              <w:rPr>
                <w:b w:val="0"/>
                <w:i w:val="0"/>
                <w:sz w:val="17"/>
              </w:rPr>
              <w:t>No</w:t>
            </w:r>
          </w:p>
        </w:tc>
        <w:tc>
          <w:tcPr>
            <w:tcW w:type="dxa" w:w="3515"/>
          </w:tcPr>
          <w:p>
            <w:pPr>
              <w:spacing w:after="0"/>
            </w:pPr>
            <w:r/>
            <w:r>
              <w:rPr>
                <w:b w:val="0"/>
                <w:i w:val="0"/>
                <w:sz w:val="17"/>
              </w:rPr>
              <w:t>Annex A confirms no formal environmental review is required for this purpose; the requirement is substantive determination, not a prescribed format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Context analysis is unrelated to clause 6.1, on risks and opportunities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Planning under clause 6.1 starts from the issues determined under 4.1, and the risks and opportunities determined under 6.1.4 relate directly to them — the two clauses are directly linked</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consultant-authored context analysis satisfies the clause regardless of who reviews it afterward</w:t>
            </w:r>
          </w:p>
        </w:tc>
        <w:tc>
          <w:tcPr>
            <w:tcW w:type="dxa" w:w="1191"/>
          </w:tcPr>
          <w:p>
            <w:pPr>
              <w:spacing w:after="0"/>
            </w:pPr>
            <w:r/>
            <w:r>
              <w:rPr>
                <w:b w:val="0"/>
                <w:i w:val="0"/>
                <w:sz w:val="17"/>
              </w:rPr>
              <w:t>No</w:t>
            </w:r>
          </w:p>
        </w:tc>
        <w:tc>
          <w:tcPr>
            <w:tcW w:type="dxa" w:w="3515"/>
          </w:tcPr>
          <w:p>
            <w:pPr>
              <w:spacing w:after="0"/>
            </w:pPr>
            <w:r/>
            <w:r>
              <w:rPr>
                <w:b w:val="0"/>
                <w:i w:val="0"/>
                <w:sz w:val="17"/>
              </w:rPr>
              <w:t>Keeping the determination relevant presumes ongoing organisational ownership, not a one-time deliverable handed over at certification</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Writing context analysis once, at certification, and never revisiting 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Filling generic template categories rather than asking what could specifically threaten this property.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context analysis as a document separate from how management actually thinks about risk.</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 longer document is a more rigorous one.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Leaving context analysis entirely in the hands of an outside consultant with no internal ownership afterward.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connect context findings to the risk and opportunity planning required under clause 6.1.</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context analysis as external-issues-only and neglecting internal conditions.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Waiting for a formal review interval rather than defining event-based triggers for revisiting the analysis.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Mistaking a plausible-sounding issue for a genuinely significant one, without testing its actual effect on operations.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 crisis affecting a competitor or a neighbouring region has nothing to teach about one’s own exposure.</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Pull the current context analysis and apply the specificity test from this subchapter to every item on it: does each one name a specific condition, a specific threshold or trend, and a specific operational effect — or does it read as generic content that could belong to almost any property in the same category?</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Attach context review to an existing operational meeting rather than a standalone compliance calendar; name at least one external data source per major dependency — water, energy, key supply chains — with a defined threshold that triggers a review; and confirm that ownership of the document sits with staff who will still be with the organisation to notice when conditions shift, not solely with an outside consultant.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Track the interval since the context analysis last changed in substance, not merely in date stamp, and track how many items on it can be traced directly into the risk and opportunity register required under clause 6.1. A context analysis that never changes and never feeds anything downstream is a document, not a process.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1.2.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1.2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