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9A7B2E"/>
          <w:sz w:val="18"/>
        </w:rPr>
        <w:t>Working Material 1.3</w:t>
      </w:r>
    </w:p>
    <w:p>
      <w:pPr>
        <w:keepNext/>
        <w:spacing w:after="40" w:before="0"/>
      </w:pPr>
      <w:r>
        <w:rPr>
          <w:b/>
          <w:i w:val="0"/>
          <w:color w:val="1B2A4A"/>
          <w:sz w:val="40"/>
        </w:rPr>
        <w:t>The Needs and Expectations of Interested Parties</w:t>
      </w:r>
    </w:p>
    <w:p>
      <w:pPr>
        <w:spacing w:after="160" w:before="0"/>
      </w:pPr>
      <w:r>
        <w:rPr>
          <w:b w:val="0"/>
          <w:i/>
          <w:color w:val="5A5A5A"/>
          <w:sz w:val="17"/>
        </w:rPr>
        <w:t>ISO 14001:2026 · Material date: 25 October 2026</w:t>
      </w:r>
    </w:p>
    <w:p>
      <w:pPr>
        <w:spacing w:after="160" w:before="0"/>
      </w:pPr>
      <w:r>
        <w:rPr>
          <w:b w:val="0"/>
          <w:i/>
          <w:color w:val="333333"/>
          <w:sz w:val="19"/>
        </w:rPr>
        <w:t>This sheet puts the working parts of subchapter 1.3 into editable form: the Verification Pact, the common mistakes as a self-check and the Operative Synthesis as an action plan. The empty columns are for your property. The reasoning behind each row is in the book.</w:t>
      </w: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3EFE6"/>
            <w:tcBorders>
              <w:left w:val="single" w:sz="24" w:space="0" w:color="9A7B2E"/>
              <w:top w:val="single" w:sz="4" w:space="0" w:color="F3EFE6"/>
              <w:bottom w:val="single" w:sz="4" w:space="0" w:color="F3EFE6"/>
              <w:right w:val="single" w:sz="4" w:space="0" w:color="F3EFE6"/>
            </w:tcBorders>
          </w:tcPr>
          <w:p>
            <w:pPr>
              <w:spacing w:after="60"/>
            </w:pPr>
            <w:r>
              <w:rPr>
                <w:b/>
                <w:color w:val="9A7B2E"/>
                <w:sz w:val="17"/>
              </w:rPr>
              <w:t>GUIDING QUESTION</w:t>
            </w:r>
          </w:p>
          <w:p>
            <w:pPr>
              <w:spacing w:after="40"/>
            </w:pPr>
            <w:r>
              <w:rPr>
                <w:i w:val="0"/>
                <w:color w:val="1B2A4A"/>
                <w:sz w:val="21"/>
              </w:rPr>
              <w:t>A stakeholder list built from a template names the parties every hotel expects: guests, owners, regulators, employees, suppliers. Who is missing from that list is usually the party with the least formal standing and the most actual power over whether the hotel can keep operating as planned.</w:t>
            </w:r>
          </w:p>
        </w:tc>
      </w:tr>
    </w:tbl>
    <w:p>
      <w:pPr>
        <w:spacing w:after="40"/>
      </w:pPr>
    </w:p>
    <w:p>
      <w:pPr>
        <w:keepNext/>
        <w:spacing w:after="80" w:before="200"/>
      </w:pPr>
      <w:r>
        <w:rPr>
          <w:b/>
          <w:i w:val="0"/>
          <w:color w:val="9A7B2E"/>
          <w:sz w:val="26"/>
        </w:rPr>
        <w:t>Verification Pact: Market Claims Against the Standard</w:t>
      </w:r>
    </w:p>
    <w:p>
      <w:pPr>
        <w:keepNext/>
        <w:spacing w:after="80" w:before="0"/>
      </w:pPr>
      <w:r>
        <w:rPr>
          <w:b w:val="0"/>
          <w:i/>
          <w:color w:val="5A5A5A"/>
          <w:sz w:val="18"/>
        </w:rPr>
        <w:t>The first three columns are copied from the book. In the last one, note whether this claim circulates in your property — in a proposal, a brochure, a supplier’s pitch or your own documents — and what you now hold instead.</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2551"/>
        <w:gridCol w:w="1190"/>
        <w:gridCol w:w="3515"/>
        <w:gridCol w:w="2381"/>
      </w:tblGrid>
      <w:tr>
        <w:trPr>
          <w:tblHeader w:val="true"/>
        </w:trPr>
        <w:tc>
          <w:tcPr>
            <w:tcW w:type="dxa" w:w="2551"/>
            <w:shd w:val="clear" w:color="auto" w:fill="1B2A4A"/>
          </w:tcPr>
          <w:p>
            <w:pPr>
              <w:spacing w:after="0"/>
            </w:pPr>
            <w:r/>
            <w:r>
              <w:rPr>
                <w:b/>
                <w:i w:val="0"/>
                <w:color w:val="FFFFFF"/>
                <w:sz w:val="17"/>
              </w:rPr>
              <w:t>What is claimed</w:t>
            </w:r>
          </w:p>
        </w:tc>
        <w:tc>
          <w:tcPr>
            <w:tcW w:type="dxa" w:w="1191"/>
            <w:shd w:val="clear" w:color="auto" w:fill="1B2A4A"/>
          </w:tcPr>
          <w:p>
            <w:pPr>
              <w:spacing w:after="0"/>
            </w:pPr>
            <w:r/>
            <w:r>
              <w:rPr>
                <w:b/>
                <w:i w:val="0"/>
                <w:color w:val="FFFFFF"/>
                <w:sz w:val="17"/>
              </w:rPr>
              <w:t>Binding?</w:t>
            </w:r>
          </w:p>
        </w:tc>
        <w:tc>
          <w:tcPr>
            <w:tcW w:type="dxa" w:w="3515"/>
            <w:shd w:val="clear" w:color="auto" w:fill="1B2A4A"/>
          </w:tcPr>
          <w:p>
            <w:pPr>
              <w:spacing w:after="0"/>
            </w:pPr>
            <w:r/>
            <w:r>
              <w:rPr>
                <w:b/>
                <w:i w:val="0"/>
                <w:color w:val="FFFFFF"/>
                <w:sz w:val="17"/>
              </w:rPr>
              <w:t>What actually holds</w:t>
            </w:r>
          </w:p>
        </w:tc>
        <w:tc>
          <w:tcPr>
            <w:tcW w:type="dxa" w:w="2381"/>
            <w:shd w:val="clear" w:color="auto" w:fill="1B2A4A"/>
          </w:tcPr>
          <w:p>
            <w:pPr>
              <w:spacing w:after="0"/>
            </w:pPr>
            <w:r/>
            <w:r>
              <w:rPr>
                <w:b/>
                <w:i w:val="0"/>
                <w:color w:val="FFFFFF"/>
                <w:sz w:val="17"/>
              </w:rPr>
              <w:t>In our property</w:t>
            </w:r>
          </w:p>
        </w:tc>
      </w:tr>
      <w:tr>
        <w:trPr>
          <w:cantSplit w:val="true"/>
        </w:trPr>
        <w:tc>
          <w:tcPr>
            <w:tcW w:type="dxa" w:w="2551"/>
            <w:shd w:val="clear" w:color="auto" w:fill="F3EFE6"/>
          </w:tcPr>
          <w:p>
            <w:pPr>
              <w:spacing w:after="0"/>
            </w:pPr>
            <w:r/>
            <w:r>
              <w:rPr>
                <w:b w:val="0"/>
                <w:i w:val="0"/>
                <w:sz w:val="17"/>
              </w:rPr>
              <w:t>Only parties with formal legal or regulatory standing count as interested parties</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definition in clause 3.1.7 turns on the ability to affect or be affected, or to perceive oneself as affected — not on legal personality or institutional recognition</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Every identified need or expectation becomes a binding compliance obligation</w:t>
            </w:r>
          </w:p>
        </w:tc>
        <w:tc>
          <w:tcPr>
            <w:tcW w:type="dxa" w:w="1191"/>
          </w:tcPr>
          <w:p>
            <w:pPr>
              <w:spacing w:after="0"/>
            </w:pPr>
            <w:r/>
            <w:r>
              <w:rPr>
                <w:b w:val="0"/>
                <w:i w:val="0"/>
                <w:sz w:val="17"/>
              </w:rPr>
              <w:t>No</w:t>
            </w:r>
          </w:p>
        </w:tc>
        <w:tc>
          <w:tcPr>
            <w:tcW w:type="dxa" w:w="3515"/>
          </w:tcPr>
          <w:p>
            <w:pPr>
              <w:spacing w:after="0"/>
            </w:pPr>
            <w:r/>
            <w:r>
              <w:rPr>
                <w:b w:val="0"/>
                <w:i w:val="0"/>
                <w:sz w:val="17"/>
              </w:rPr>
              <w:t>Clause 4.2 explicitly requires determining which needs and expectations the organisation chooses or is required to comply with; the rest still feed the determination of risks and opportunities under 6.1.4 without becoming obligations</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Clause 4.2 requires formal consultation with every interested party identified</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clause requires determination of relevant needs and expectations; it does not mandate a specific engagement or consultation process</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Interested-party identification, once documented, does not need revisiting</w:t>
            </w:r>
          </w:p>
        </w:tc>
        <w:tc>
          <w:tcPr>
            <w:tcW w:type="dxa" w:w="1191"/>
          </w:tcPr>
          <w:p>
            <w:pPr>
              <w:spacing w:after="0"/>
            </w:pPr>
            <w:r/>
            <w:r>
              <w:rPr>
                <w:b w:val="0"/>
                <w:i w:val="0"/>
                <w:sz w:val="17"/>
              </w:rPr>
              <w:t>No</w:t>
            </w:r>
          </w:p>
        </w:tc>
        <w:tc>
          <w:tcPr>
            <w:tcW w:type="dxa" w:w="3515"/>
          </w:tcPr>
          <w:p>
            <w:pPr>
              <w:spacing w:after="0"/>
            </w:pPr>
            <w:r/>
            <w:r>
              <w:rPr>
                <w:b w:val="0"/>
                <w:i w:val="0"/>
                <w:sz w:val="17"/>
              </w:rPr>
              <w:t>Like the 4.1 determination, it must stay relevant to the system; changes in interested parties’ needs and expectations are a required management review input, so a register never revisited cannot serve it</w:t>
            </w:r>
          </w:p>
        </w:tc>
        <w:tc>
          <w:tcPr>
            <w:tcW w:type="dxa" w:w="2381"/>
            <w:shd w:val="clear" w:color="auto" w:fill="FFFFFF"/>
          </w:tcPr>
          <w:p>
            <w:pPr>
              <w:spacing w:after="0"/>
            </w:pPr>
            <w:r/>
            <w:r>
              <w:rPr>
                <w:b w:val="0"/>
                <w:i w:val="0"/>
                <w:sz w:val="17"/>
              </w:rPr>
            </w:r>
          </w:p>
        </w:tc>
      </w:tr>
      <w:tr>
        <w:trPr>
          <w:cantSplit w:val="true"/>
        </w:trPr>
        <w:tc>
          <w:tcPr>
            <w:tcW w:type="dxa" w:w="2551"/>
            <w:shd w:val="clear" w:color="auto" w:fill="F3EFE6"/>
          </w:tcPr>
          <w:p>
            <w:pPr>
              <w:spacing w:after="0"/>
            </w:pPr>
            <w:r/>
            <w:r>
              <w:rPr>
                <w:b w:val="0"/>
                <w:i w:val="0"/>
                <w:sz w:val="17"/>
              </w:rPr>
              <w:t>A party’s perception of harm is irrelevant unless independently proven</w:t>
            </w:r>
          </w:p>
        </w:tc>
        <w:tc>
          <w:tcPr>
            <w:tcW w:type="dxa" w:w="1191"/>
            <w:shd w:val="clear" w:color="auto" w:fill="F3EFE6"/>
          </w:tcPr>
          <w:p>
            <w:pPr>
              <w:spacing w:after="0"/>
            </w:pPr>
            <w:r/>
            <w:r>
              <w:rPr>
                <w:b w:val="0"/>
                <w:i w:val="0"/>
                <w:sz w:val="17"/>
              </w:rPr>
              <w:t>No</w:t>
            </w:r>
          </w:p>
        </w:tc>
        <w:tc>
          <w:tcPr>
            <w:tcW w:type="dxa" w:w="3515"/>
            <w:shd w:val="clear" w:color="auto" w:fill="F3EFE6"/>
          </w:tcPr>
          <w:p>
            <w:pPr>
              <w:spacing w:after="0"/>
            </w:pPr>
            <w:r/>
            <w:r>
              <w:rPr>
                <w:b w:val="0"/>
                <w:i w:val="0"/>
                <w:sz w:val="17"/>
              </w:rPr>
              <w:t>The standard’s own definition includes parties that perceive themselves to be affected, without requiring independent proof of the connection, provided that perception has been made known to the organisation</w:t>
            </w:r>
          </w:p>
        </w:tc>
        <w:tc>
          <w:tcPr>
            <w:tcW w:type="dxa" w:w="2381"/>
            <w:shd w:val="clear" w:color="auto" w:fill="FFFFFF"/>
          </w:tcPr>
          <w:p>
            <w:pPr>
              <w:spacing w:after="0"/>
            </w:pPr>
            <w:r/>
            <w:r>
              <w:rPr>
                <w:b w:val="0"/>
                <w:i w:val="0"/>
                <w:sz w:val="17"/>
              </w:rPr>
            </w:r>
          </w:p>
        </w:tc>
      </w:tr>
      <w:tr>
        <w:trPr>
          <w:cantSplit w:val="true"/>
        </w:trPr>
        <w:tc>
          <w:tcPr>
            <w:tcW w:type="dxa" w:w="2551"/>
          </w:tcPr>
          <w:p>
            <w:pPr>
              <w:spacing w:after="0"/>
            </w:pPr>
            <w:r/>
            <w:r>
              <w:rPr>
                <w:b w:val="0"/>
                <w:i w:val="0"/>
                <w:sz w:val="17"/>
              </w:rPr>
              <w:t>A community group with no legal standing has no claim an environmental management system needs to consider</w:t>
            </w:r>
          </w:p>
        </w:tc>
        <w:tc>
          <w:tcPr>
            <w:tcW w:type="dxa" w:w="1191"/>
          </w:tcPr>
          <w:p>
            <w:pPr>
              <w:spacing w:after="0"/>
            </w:pPr>
            <w:r/>
            <w:r>
              <w:rPr>
                <w:b w:val="0"/>
                <w:i w:val="0"/>
                <w:sz w:val="17"/>
              </w:rPr>
              <w:t>No</w:t>
            </w:r>
          </w:p>
        </w:tc>
        <w:tc>
          <w:tcPr>
            <w:tcW w:type="dxa" w:w="3515"/>
          </w:tcPr>
          <w:p>
            <w:pPr>
              <w:spacing w:after="0"/>
            </w:pPr>
            <w:r/>
            <w:r>
              <w:rPr>
                <w:b w:val="0"/>
                <w:i w:val="0"/>
                <w:sz w:val="17"/>
              </w:rPr>
              <w:t>Legal standing is not a condition in the definition; actual or perceived effect, made known to the organisation, is sufficient to qualify — relevance to the system is then determined under 4.2</w:t>
            </w:r>
          </w:p>
        </w:tc>
        <w:tc>
          <w:tcPr>
            <w:tcW w:type="dxa" w:w="2381"/>
            <w:shd w:val="clear" w:color="auto" w:fill="FFFFFF"/>
          </w:tcPr>
          <w:p>
            <w:pPr>
              <w:spacing w:after="0"/>
            </w:pPr>
            <w:r/>
            <w:r>
              <w:rPr>
                <w:b w:val="0"/>
                <w:i w:val="0"/>
                <w:sz w:val="17"/>
              </w:rPr>
            </w:r>
          </w:p>
        </w:tc>
      </w:tr>
    </w:tbl>
    <w:p>
      <w:pPr>
        <w:keepNext/>
        <w:spacing w:after="80" w:before="200"/>
      </w:pPr>
      <w:r>
        <w:rPr>
          <w:b/>
          <w:i w:val="0"/>
          <w:color w:val="9A7B2E"/>
          <w:sz w:val="26"/>
        </w:rPr>
        <w:t>Common Mistakes — Self-Check</w:t>
      </w:r>
    </w:p>
    <w:p>
      <w:pPr>
        <w:keepNext/>
        <w:spacing w:after="80" w:before="0"/>
      </w:pPr>
      <w:r>
        <w:rPr>
          <w:b w:val="0"/>
          <w:i/>
          <w:color w:val="5A5A5A"/>
          <w:sz w:val="18"/>
        </w:rPr>
        <w:t>Tick every mistake you recognise in your own property today, and write next to it where you saw it. A ticked box is not a nonconformity; it is a place to look before an auditor or an incident does.</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510"/>
        <w:gridCol w:w="5726"/>
        <w:gridCol w:w="3402"/>
      </w:tblGrid>
      <w:tr>
        <w:trPr>
          <w:tblHeader w:val="true"/>
        </w:trPr>
        <w:tc>
          <w:tcPr>
            <w:tcW w:type="dxa" w:w="510"/>
            <w:shd w:val="clear" w:color="auto" w:fill="1B2A4A"/>
          </w:tcPr>
          <w:p>
            <w:pPr>
              <w:spacing w:after="0"/>
            </w:pPr>
            <w:r/>
            <w:r>
              <w:rPr>
                <w:b/>
                <w:i w:val="0"/>
                <w:color w:val="FFFFFF"/>
                <w:sz w:val="17"/>
              </w:rPr>
              <w:t>☐</w:t>
            </w:r>
          </w:p>
        </w:tc>
        <w:tc>
          <w:tcPr>
            <w:tcW w:type="dxa" w:w="5726"/>
            <w:shd w:val="clear" w:color="auto" w:fill="1B2A4A"/>
          </w:tcPr>
          <w:p>
            <w:pPr>
              <w:spacing w:after="0"/>
            </w:pPr>
            <w:r/>
            <w:r>
              <w:rPr>
                <w:b/>
                <w:i w:val="0"/>
                <w:color w:val="FFFFFF"/>
                <w:sz w:val="17"/>
              </w:rPr>
              <w:t>Mistake (from the book)</w:t>
            </w:r>
          </w:p>
        </w:tc>
        <w:tc>
          <w:tcPr>
            <w:tcW w:type="dxa" w:w="3402"/>
            <w:shd w:val="clear" w:color="auto" w:fill="1B2A4A"/>
          </w:tcPr>
          <w:p>
            <w:pPr>
              <w:spacing w:after="0"/>
            </w:pPr>
            <w:r/>
            <w:r>
              <w:rPr>
                <w:b/>
                <w:i w:val="0"/>
                <w:color w:val="FFFFFF"/>
                <w:sz w:val="17"/>
              </w:rPr>
              <w:t>Where we see it</w:t>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Treating a stakeholder template’s categories as sufficient without testing them against this property’s actual dependencies.</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Requiring formal legal standing before recognising a party as an interested party.</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Assuming every identified need or expectation must become a binding compliance obligation.</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Waiting for proven causation before treating a community’s perceived harm as relevant.</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Adding a generic line item in response to another property’s crisis, without genuine dependency mapping or engagement.</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Closing the interested-parties register once built, rather than keeping a standing question open for what has not yet been mapped.</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Delegating stakeholder identification entirely to an outside consultant with no lasting local relationship.</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Confusing the absence of a formal complaint with the absence of a legitimate, unaddressed concern.</w:t>
            </w:r>
          </w:p>
        </w:tc>
        <w:tc>
          <w:tcPr>
            <w:tcW w:type="dxa" w:w="3402"/>
            <w:shd w:val="clear" w:color="auto" w:fill="FFFFFF"/>
          </w:tcPr>
          <w:p>
            <w:pPr>
              <w:spacing w:after="0"/>
            </w:pPr>
            <w:r/>
            <w:r>
              <w:rPr>
                <w:b w:val="0"/>
                <w:i w:val="0"/>
                <w:sz w:val="17"/>
              </w:rPr>
            </w:r>
          </w:p>
        </w:tc>
      </w:tr>
      <w:tr>
        <w:trPr>
          <w:cantSplit w:val="true"/>
        </w:trPr>
        <w:tc>
          <w:tcPr>
            <w:tcW w:type="dxa" w:w="510"/>
            <w:shd w:val="clear" w:color="auto" w:fill="F3EFE6"/>
          </w:tcPr>
          <w:p>
            <w:pPr>
              <w:spacing w:after="0"/>
              <w:jc w:val="center"/>
            </w:pPr>
            <w:r>
              <w:rPr>
                <w:sz w:val="24"/>
              </w:rPr>
            </w:r>
            <w:r>
              <w:rPr>
                <w:b w:val="0"/>
                <w:i w:val="0"/>
                <w:sz w:val="17"/>
              </w:rPr>
              <w:t>☐</w:t>
            </w:r>
          </w:p>
        </w:tc>
        <w:tc>
          <w:tcPr>
            <w:tcW w:type="dxa" w:w="5726"/>
            <w:shd w:val="clear" w:color="auto" w:fill="F3EFE6"/>
          </w:tcPr>
          <w:p>
            <w:pPr>
              <w:spacing w:after="0"/>
            </w:pPr>
            <w:r/>
            <w:r>
              <w:rPr>
                <w:b w:val="0"/>
                <w:i w:val="0"/>
                <w:sz w:val="17"/>
              </w:rPr>
              <w:t>Building the interested-parties register only once, at first certification, rather than as operations expand.</w:t>
            </w:r>
          </w:p>
        </w:tc>
        <w:tc>
          <w:tcPr>
            <w:tcW w:type="dxa" w:w="3402"/>
            <w:shd w:val="clear" w:color="auto" w:fill="FFFFFF"/>
          </w:tcPr>
          <w:p>
            <w:pPr>
              <w:spacing w:after="0"/>
            </w:pPr>
            <w:r/>
            <w:r>
              <w:rPr>
                <w:b w:val="0"/>
                <w:i w:val="0"/>
                <w:sz w:val="17"/>
              </w:rPr>
            </w:r>
          </w:p>
        </w:tc>
      </w:tr>
      <w:tr>
        <w:trPr>
          <w:cantSplit w:val="true"/>
        </w:trPr>
        <w:tc>
          <w:tcPr>
            <w:tcW w:type="dxa" w:w="510"/>
          </w:tcPr>
          <w:p>
            <w:pPr>
              <w:spacing w:after="0"/>
              <w:jc w:val="center"/>
            </w:pPr>
            <w:r>
              <w:rPr>
                <w:sz w:val="24"/>
              </w:rPr>
            </w:r>
            <w:r>
              <w:rPr>
                <w:b w:val="0"/>
                <w:i w:val="0"/>
                <w:sz w:val="17"/>
              </w:rPr>
              <w:t>☐</w:t>
            </w:r>
          </w:p>
        </w:tc>
        <w:tc>
          <w:tcPr>
            <w:tcW w:type="dxa" w:w="5726"/>
          </w:tcPr>
          <w:p>
            <w:pPr>
              <w:spacing w:after="0"/>
            </w:pPr>
            <w:r/>
            <w:r>
              <w:rPr>
                <w:b w:val="0"/>
                <w:i w:val="0"/>
                <w:sz w:val="17"/>
              </w:rPr>
              <w:t>Treating community engagement as a reputational exercise rather than an operational input to risk planning.</w:t>
            </w:r>
          </w:p>
        </w:tc>
        <w:tc>
          <w:tcPr>
            <w:tcW w:type="dxa" w:w="3402"/>
            <w:shd w:val="clear" w:color="auto" w:fill="FFFFFF"/>
          </w:tcPr>
          <w:p>
            <w:pPr>
              <w:spacing w:after="0"/>
            </w:pPr>
            <w:r/>
            <w:r>
              <w:rPr>
                <w:b w:val="0"/>
                <w:i w:val="0"/>
                <w:sz w:val="17"/>
              </w:rPr>
            </w:r>
          </w:p>
        </w:tc>
      </w:tr>
    </w:tbl>
    <w:p>
      <w:pPr>
        <w:keepNext/>
        <w:spacing w:after="80" w:before="200"/>
      </w:pPr>
      <w:r>
        <w:rPr>
          <w:b/>
          <w:i w:val="0"/>
          <w:color w:val="9A7B2E"/>
          <w:sz w:val="26"/>
        </w:rPr>
        <w:t>Operative Synthesis — Action Plan</w:t>
      </w:r>
    </w:p>
    <w:p>
      <w:pPr>
        <w:keepNext/>
        <w:spacing w:after="80" w:before="0"/>
      </w:pPr>
      <w:r>
        <w:rPr>
          <w:b w:val="0"/>
          <w:i/>
          <w:color w:val="5A5A5A"/>
          <w:sz w:val="18"/>
        </w:rPr>
        <w:t>The three horizons and their actions are copied from the book. Owner and due date are yours to fill: an action without both is a wish.</w:t>
      </w:r>
    </w:p>
    <w:tbl>
      <w:tblPr>
        <w:tblW w:type="dxa" w:w="9639"/>
        <w:jc w:val="center"/>
        <w:tblLook w:firstColumn="1" w:firstRow="1" w:lastColumn="0" w:lastRow="0" w:noHBand="0" w:noVBand="1" w:val="04A0"/>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Layout w:type="fixed"/>
        <w:tblCellMar>
          <w:top w:w="60" w:type="dxa"/>
          <w:left w:w="90" w:type="dxa"/>
          <w:bottom w:w="60" w:type="dxa"/>
          <w:right w:w="90" w:type="dxa"/>
        </w:tblCellMar>
        <w:tblLayout w:type="fixed"/>
      </w:tblPr>
      <w:tblGrid>
        <w:gridCol w:w="1587"/>
        <w:gridCol w:w="5329"/>
        <w:gridCol w:w="1474"/>
        <w:gridCol w:w="1247"/>
      </w:tblGrid>
      <w:tr>
        <w:trPr>
          <w:tblHeader w:val="true"/>
        </w:trPr>
        <w:tc>
          <w:tcPr>
            <w:tcW w:type="dxa" w:w="1587"/>
            <w:shd w:val="clear" w:color="auto" w:fill="1B2A4A"/>
          </w:tcPr>
          <w:p>
            <w:pPr>
              <w:spacing w:after="0"/>
            </w:pPr>
            <w:r/>
            <w:r>
              <w:rPr>
                <w:b/>
                <w:i w:val="0"/>
                <w:color w:val="FFFFFF"/>
                <w:sz w:val="17"/>
              </w:rPr>
              <w:t>Horizon</w:t>
            </w:r>
          </w:p>
        </w:tc>
        <w:tc>
          <w:tcPr>
            <w:tcW w:type="dxa" w:w="5329"/>
            <w:shd w:val="clear" w:color="auto" w:fill="1B2A4A"/>
          </w:tcPr>
          <w:p>
            <w:pPr>
              <w:spacing w:after="0"/>
            </w:pPr>
            <w:r/>
            <w:r>
              <w:rPr>
                <w:b/>
                <w:i w:val="0"/>
                <w:color w:val="FFFFFF"/>
                <w:sz w:val="17"/>
              </w:rPr>
              <w:t>Action from the book</w:t>
            </w:r>
          </w:p>
        </w:tc>
        <w:tc>
          <w:tcPr>
            <w:tcW w:type="dxa" w:w="1474"/>
            <w:shd w:val="clear" w:color="auto" w:fill="1B2A4A"/>
          </w:tcPr>
          <w:p>
            <w:pPr>
              <w:spacing w:after="0"/>
            </w:pPr>
            <w:r/>
            <w:r>
              <w:rPr>
                <w:b/>
                <w:i w:val="0"/>
                <w:color w:val="FFFFFF"/>
                <w:sz w:val="17"/>
              </w:rPr>
              <w:t>Owner</w:t>
            </w:r>
          </w:p>
        </w:tc>
        <w:tc>
          <w:tcPr>
            <w:tcW w:type="dxa" w:w="1247"/>
            <w:shd w:val="clear" w:color="auto" w:fill="1B2A4A"/>
          </w:tcPr>
          <w:p>
            <w:pPr>
              <w:spacing w:after="0"/>
            </w:pPr>
            <w:r/>
            <w:r>
              <w:rPr>
                <w:b/>
                <w:i w:val="0"/>
                <w:color w:val="FFFFFF"/>
                <w:sz w:val="17"/>
              </w:rPr>
              <w:t>Due date</w:t>
            </w:r>
          </w:p>
        </w:tc>
      </w:tr>
      <w:tr>
        <w:trPr>
          <w:cantSplit w:val="true"/>
        </w:trPr>
        <w:tc>
          <w:tcPr>
            <w:tcW w:type="dxa" w:w="1587"/>
            <w:shd w:val="clear" w:color="auto" w:fill="F3EFE6"/>
          </w:tcPr>
          <w:p>
            <w:pPr>
              <w:spacing w:after="0"/>
            </w:pPr>
            <w:r/>
            <w:r>
              <w:rPr>
                <w:b/>
                <w:i w:val="0"/>
                <w:sz w:val="17"/>
              </w:rPr>
              <w:t>Act on immediately</w:t>
            </w:r>
          </w:p>
        </w:tc>
        <w:tc>
          <w:tcPr>
            <w:tcW w:type="dxa" w:w="5329"/>
            <w:shd w:val="clear" w:color="auto" w:fill="F3EFE6"/>
          </w:tcPr>
          <w:p>
            <w:pPr>
              <w:spacing w:after="0"/>
            </w:pPr>
            <w:r/>
            <w:r>
              <w:rPr>
                <w:b w:val="0"/>
                <w:i w:val="0"/>
                <w:sz w:val="17"/>
              </w:rPr>
              <w:t>Run the dependency pass against the current interested-parties register: list every physical resource the property draws on or discharges into, and ask who else depends on or governs each one. Compare the result against the existing register and note every gap.</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tcPr>
          <w:p>
            <w:pPr>
              <w:spacing w:after="0"/>
            </w:pPr>
            <w:r/>
            <w:r>
              <w:rPr>
                <w:b/>
                <w:i w:val="0"/>
                <w:sz w:val="17"/>
              </w:rPr>
              <w:t>Plan for</w:t>
            </w:r>
          </w:p>
        </w:tc>
        <w:tc>
          <w:tcPr>
            <w:tcW w:type="dxa" w:w="5329"/>
          </w:tcPr>
          <w:p>
            <w:pPr>
              <w:spacing w:after="0"/>
            </w:pPr>
            <w:r/>
            <w:r>
              <w:rPr>
                <w:b w:val="0"/>
                <w:i w:val="0"/>
                <w:sz w:val="17"/>
              </w:rPr>
              <w:t>Build a standing relationship, not a one-time consultation, with any party the dependency pass surfaces that the template pass missed — particularly informal or traditional bodies with real local authority over a shared resource; and add an explicit open question to every register review asking what dependency remains unmapped.</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r>
        <w:trPr>
          <w:cantSplit w:val="true"/>
        </w:trPr>
        <w:tc>
          <w:tcPr>
            <w:tcW w:type="dxa" w:w="1587"/>
            <w:shd w:val="clear" w:color="auto" w:fill="F3EFE6"/>
          </w:tcPr>
          <w:p>
            <w:pPr>
              <w:spacing w:after="0"/>
            </w:pPr>
            <w:r/>
            <w:r>
              <w:rPr>
                <w:b/>
                <w:i w:val="0"/>
                <w:sz w:val="17"/>
              </w:rPr>
              <w:t>Monitor going forward</w:t>
            </w:r>
          </w:p>
        </w:tc>
        <w:tc>
          <w:tcPr>
            <w:tcW w:type="dxa" w:w="5329"/>
            <w:shd w:val="clear" w:color="auto" w:fill="F3EFE6"/>
          </w:tcPr>
          <w:p>
            <w:pPr>
              <w:spacing w:after="0"/>
            </w:pPr>
            <w:r/>
            <w:r>
              <w:rPr>
                <w:b w:val="0"/>
                <w:i w:val="0"/>
                <w:sz w:val="17"/>
              </w:rPr>
              <w:t>Track whether any party identified through the dependency pass has a genuine, functioning channel of communication with the property — not merely a name on a document — and treat the absence of one as an open risk, not a closed item.</w:t>
            </w:r>
          </w:p>
        </w:tc>
        <w:tc>
          <w:tcPr>
            <w:tcW w:type="dxa" w:w="1474"/>
            <w:shd w:val="clear" w:color="auto" w:fill="FFFFFF"/>
          </w:tcPr>
          <w:p>
            <w:pPr>
              <w:spacing w:after="0"/>
            </w:pPr>
            <w:r/>
            <w:r>
              <w:rPr>
                <w:b w:val="0"/>
                <w:i w:val="0"/>
                <w:sz w:val="17"/>
              </w:rPr>
            </w:r>
          </w:p>
        </w:tc>
        <w:tc>
          <w:tcPr>
            <w:tcW w:type="dxa" w:w="1247"/>
            <w:shd w:val="clear" w:color="auto" w:fill="FFFFFF"/>
          </w:tcPr>
          <w:p>
            <w:pPr>
              <w:spacing w:after="0"/>
            </w:pPr>
            <w:r/>
            <w:r>
              <w:rPr>
                <w:b w:val="0"/>
                <w:i w:val="0"/>
                <w:sz w:val="17"/>
              </w:rPr>
            </w:r>
          </w:p>
        </w:tc>
      </w:tr>
    </w:tbl>
    <w:p>
      <w:pPr>
        <w:spacing w:after="120" w:before="0"/>
      </w:pPr>
    </w:p>
    <w:tbl>
      <w:tblPr>
        <w:tblW w:type="dxa" w:w="9639"/>
        <w:jc w:val="center"/>
        <w:tblLook w:firstColumn="1" w:firstRow="1" w:lastColumn="0" w:lastRow="0" w:noHBand="0" w:noVBand="1" w:val="04A0"/>
        <w:tblLayout w:type="fixed"/>
        <w:tblCellMar>
          <w:top w:w="120" w:type="dxa"/>
          <w:left w:w="200" w:type="dxa"/>
          <w:bottom w:w="120" w:type="dxa"/>
          <w:right w:w="160" w:type="dxa"/>
        </w:tblCellMar>
        <w:tblLayout w:type="fixed"/>
      </w:tblPr>
      <w:tblGrid>
        <w:gridCol w:w="9639"/>
      </w:tblGrid>
      <w:tr>
        <w:tc>
          <w:tcPr>
            <w:tcW w:type="dxa" w:w="9638"/>
            <w:shd w:val="clear" w:color="auto" w:fill="FFFFFF"/>
            <w:tcBorders>
              <w:left w:val="single" w:sz="24" w:space="0" w:color="C9BBA6"/>
              <w:top w:val="single" w:sz="4" w:space="0" w:color="FFFFFF"/>
              <w:bottom w:val="single" w:sz="4" w:space="0" w:color="FFFFFF"/>
              <w:right w:val="single" w:sz="4" w:space="0" w:color="FFFFFF"/>
            </w:tcBorders>
          </w:tcPr>
          <w:p>
            <w:pPr>
              <w:spacing w:after="60"/>
            </w:pPr>
            <w:r>
              <w:rPr>
                <w:b/>
                <w:color w:val="5A5A5A"/>
                <w:sz w:val="17"/>
              </w:rPr>
              <w:t>WHAT THIS SHEET IS NOT</w:t>
            </w:r>
          </w:p>
          <w:p>
            <w:pPr>
              <w:spacing w:after="40"/>
            </w:pPr>
            <w:r>
              <w:rPr>
                <w:i/>
                <w:color w:val="333333"/>
                <w:sz w:val="18"/>
              </w:rPr>
              <w:t>ISO 14001 does not prescribe this form. No clause asks for this worksheet, its columns or a register of market claims; the standard sets requirements and leaves the means to the organisation. This sheet is a working aid drawn from the book: use it, change it or set it aside. Where it touches a requirement, the text of ISO 14001:2026 is the authority, not this page — and nothing on it replaces your own reading of that text.</w:t>
            </w:r>
          </w:p>
        </w:tc>
      </w:tr>
    </w:tbl>
    <w:p>
      <w:pPr>
        <w:spacing w:after="40"/>
      </w:pPr>
    </w:p>
    <w:p>
      <w:pPr>
        <w:spacing w:after="80" w:before="80"/>
      </w:pPr>
      <w:r>
        <w:rPr>
          <w:b w:val="0"/>
          <w:i w:val="0"/>
          <w:color w:val="9A7B2E"/>
          <w:sz w:val="16"/>
        </w:rPr>
        <w:t>Source: Francesco Dore, The Helm and the Lens, Volume 1a — ISO 14001:2026, subchapter 1.3. Edizioni Effedore 2026. © 2026 Francesco Dore. Free to adapt for use in your own property. enbooks.effedore.com</w:t>
      </w:r>
    </w:p>
    <w:sectPr w:rsidR="00FC693F" w:rsidRPr="0006063C" w:rsidSect="00034616">
      <w:headerReference w:type="default" r:id="rId9"/>
      <w:footerReference w:type="default" r:id="rId10"/>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A5A5A"/>
        <w:sz w:val="16"/>
      </w:rPr>
      <w:t xml:space="preserve">The Helm and the Lens · Volume 1a · Working material 1.3 · enbooks.effedore.com · page </w:t>
    </w:r>
    <w:r>
      <w:rPr>
        <w:color w:val="5A5A5A"/>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BBA6"/>
      </w:pBdr>
    </w:pPr>
    <w:r/>
    <w:r>
      <w:rPr>
        <w:b/>
        <w:color w:val="9A7B2E"/>
        <w:sz w:val="17"/>
      </w:rPr>
      <w:t>The Helm and the Lens · Volume 1a · ISO 14001:2026 — The Helm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