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1.4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Defining the Scope of the Management System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1.4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 scope statement can be drawn along legal boundaries or along the boundaries the public actually sees. When a resort’s marina is operated by a different company under the same name and the same waterfront, which boundary does the standard actually require — and which one does a guest with a camera recognise?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leased or concessioned operation is automatically outside the scope of the parent organisation’s system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4.3 requires considering authority and ability to influence, not only direct legal control — a concession relationship can create exactly this kind of influence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Scope can be drawn purely along corporate or legal boundaries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considering organisational units, functions, and physical boundaries together, not legal structure alone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Excluding a high-impact activity is legitimate as long as the exclusion is disclosed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Annex A explains that scope should not be used to exclude an activity that has or can have a significant environmental aspect within the organisation’s control or influence; disclosure does not cure an exclusion the 4.3 considerations cannot justify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narrower scope always makes certification more defensible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scope that misleads interested parties about what is actually covered creates exposure the Annex A guidance specifically warns against, independent of audit defensibility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Influence without direct control does not need to be considered when defining scope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names influence explicitly, alongside control, as a basis the scope should consider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Once a scope statement is certified, its accuracy is no longer in question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Scope is maintained as documented information; when activities, boundaries, or the organisation’s control and influence change, the determination needs revisiting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Scope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any excluded activity share our brand, signage, or physical infrastructure?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Shared identity is what defeats legal separation in public perception, as it did at Split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 we hold lease, licence, or contractual terms that could require the excluded party to change how it operates?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This is the practical test for influence, independent of direct ownership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Could this activity, if it failed badly, have a significant environmental aspect?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Annex A warns against using scope to exclude exactly this category of activity where the organisation can control or influence it; where it cannot, supplier control under 8.1 is the relevant route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Would a guest or journalist understand this activity as separate from us?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perception test that legal boundaries alone cannot satisfy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Has this exclusion been actively decided, or simply never reconsidered since the system was first built?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Many narrow scopes, like Split’s, persist through inattention rather than deliberate choice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Drawing scope along legal or corporate boundaries alone, without considering influence.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Excluding a high-impact activity because it reduces audit cost or complexity.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disclosure of an exclusion as sufficient, regardless of whether the exclusion itself is defensible under the standard.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Writing a scope statement in legally precise language a guest or journalist could never verify against what they actually see on the property.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reassess scope when a new lease, concession, or franchise arrangement is added to the property.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a separately branded concession is automatically outside scope without testing shared infrastructure or physical adjacency.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the influence test as optional once direct legal control is absent.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Leaving scope decisions to a single property or a single consultant, with no group-level review where a portfolio exists.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Believing a scope statement’s accuracy, once certified, does not need revisiting.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Underestimating how completely public perception ignores corporate structure when assigning responsibility for a visible incident.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List every leased, concessioned, or franchised operation sharing the property’s branding, waterfront, grounds, or guest-facing infrastructure, and apply the guest-perception test to each: if it produced a serious incident tomorrow, would the public understand it as separate from the certified organisation?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Rewrite the scope statement in language a guest could actually verify against what they see on the property, not only in language a legal team would recognise; and add an environmental alignment clause to every new lease or concession agreement, resolving the scope question before the relationship begins rather than after an incident forces the question.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Track every new leased or concessioned operation added to the property against the influence test at the point it is added, not at the next scheduled scope review — the gap at Split existed for three years partly because nothing prompted a reassessment between certification cycles.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1.4.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1.4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