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1.5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Leadership and Commitment from the Top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1.5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signature on an environmental policy takes seconds. Demonstrating accountability for what that policy actually produces can take years, and is tested most severely not in a boardroom but in how an organisation treats the one employee who reports that something is wrong.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signed environmental policy satisfies top management’s leadership obligations under clause 5.1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lists a series of distinct actions beyond signing a policy, including accountability, resourcing, achieving intended outcomes, and directing and supporting persons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Leadership commitment can be fully delegated to a sustainability coordinator or manager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5.1 explicitly reserves accountability for the system’s effectiveness to top management, even where day-to-day operation is delegated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Protected reporting channel is an explicit ISO 14001 requirement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That explicit requirement belongs to ISO 45001; in ISO 14001 the duty flows from accountability, resources, support, and communication, applied to every route by which a nonconformity reaches leadership, not a single formal mechanism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unintended chilling effect on reporting falls outside clause 5.1’s reach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Largely 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5.1 looks at outcomes and support, not intent: leadership that leaves a chilling effect uncorrected has weakened the system’s ability to surface nonconformities; whether employment law was breached is a separate question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Leadership commitment is demonstrated once, at system launch, and does not need ongoing evidence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describes ongoing actions — communicating, directing, supporting, promoting — not a one-time demonstration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management contract’s brand standards satisfy the ownership group’s own leadership obligations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5.1 applies to the organisation operating the certified system; a brand standard can inform expectations but does not substitute for the organisation’s own demonstrated accountability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Leadership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there a named individual, above property level, personally accountable for this system’s effectiveness?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Diffuse regional oversight, as at Marrakech, leaves no one genuinely answerable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environmental risk have an approval path faster than routine capital cycles?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known discharge issue should never compete on equal footing with unrelated, non-urgent requests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there a named contact for reprisal concerns outside the immediate management line?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employee who fears retaliation from their own manager needs somewhere else to go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we measure staff willingness to report, not only the reports themselves?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declining reporting rate is frequently the earliest honest signal available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Would top management recognise this system’s current significant risks by name, without being briefed first?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Genuine accountability requires more than a signature; it requires current, working knowledge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a signed policy as the fulfilment of clause 5.1’s leadership requirements.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Delegating environmental accountability entirely to a coordinator or manager with no budget authority.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Routing environmental risk through a standard capital cycle with no expedited path for urgent issues.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an employee’s working conditions to change, even informally, in the aftermath of an environmental report, without review.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reprisal protection as an implicit cultural value rather than a concrete, named mechanism.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brand’s management standards satisfy the property owner’s own leadership obligations.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Measuring incident counts without also measuring whether employees are still willing to report them.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Leaving leadership accountability diffuse across a regional structure with no individual personally answerable.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Reviewing a reporting employee’s treatment only when a formal complaint is made, rather than as a standing check after any significant report.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leadership commitment, once demonstrated at a system’s launch, requires no further evidence.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Ask the two questions from the What This Means in Practice section directly of a frontline employee, not a manager: who would a significant environmental report actually reach, and what do they believe happens to someone who files one? The second answer, delivered with hesitation, is itself a finding.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Create a defined, expedited approval path for capital requests tied to active environmental risk, separate from routine budget cycles; name a specific individual accountable for each property’s system effectiveness, with a personal review obligation for significant nonconformities; and establish a named contact outside the immediate management line for anyone who believes a report has led to a negative consequence.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Track the reporting rate for environmental concerns from employees below management level as a standing indicator, not only the number and resolution time of incidents themselves. A declining reporting rate, unconnected to any single incident, is frequently the earliest and most honest signal that leadership commitment has stopped reaching the people the system depends 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1.5.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1.5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