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1.7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Roles, Responsibilities, and Authorities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1.7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Every job description at a hotel says the same reassuring sentence: every employee shares responsibility for our environmental performance. When something falls through the cracks between two departments, whose job description actually covers it?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Stating that every employee is responsible for environmental performance satisfies clause 5.3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specific assignment of two named responsibilities, distinct from a general organisational value statement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strong environmental credential in one area (such as clean energy) reduces the need for role clarity elsewhere in the system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5.3’s requirements apply to the system as a whole, regardless of how strong any single aspect of performance already is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two responsibilities named in clause 5.3 must be held by a dedicated, full-time environmental role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permits combination with existing roles, particularly at smaller properties; what matters is clarity of assignment, not a dedicated headcount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If a responsibility is written into multiple job descriptions, it is more likely to be fulfilled, not less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Frequently false in practice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Diffuse assignment across many roles, without one role holding specific accountability, commonly produces the opposite result — the Reykjavik case being a direct illustration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Responsibility assignment, once documented at system launch, does not need active communication afterward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assignment to be communicated, not merely documented — an assignment no one operationally understands has not been communicated in the sense the clause means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department’s technical expertise in an area (such as pool chemistry) implies that department automatically holds environmental responsibility for it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Technical expertise and assigned responsibility are separate; the standard requires explicit assignment regardless of who happens to understand the underlying process best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Role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Can we name, specifically, who holds each of the two clause 5.3 responsibilities?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test the Reykjavik system would have failed for eighteen months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our three most significant environmental aspects, can the named owner describe their own responsibility unprompted?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Documentation without operational understanding is not communication in the sense the clause means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the role holding reporting responsibility have real authority to request data, not only to compile whatever arrives?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Authority without a mechanism to exercise it produces the same gap as no authority at all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any single significant aspect currently owned by more than one department, or by none?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Both conditions produce the same practical failure — a gap no one is actually watching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named ownership been reviewed in the past year, independent of any incident prompting it?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Ownership drifts as people and roles change; only active review catches the drift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Writing environmental responsibility into every job description without assigning either clause 5.3 responsibility to anyone specifically.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strong result in one visible area reduces the need for role clarity elsewhere in the system.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technical expertise in a process implies assigned environmental responsibility for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Creating a title without adjusting the authority, budget, or standing that goes with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responsibility for a specific significant aspect to an assumption that another department covers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documentation of an assignment as equivalent to communicating it — an assignment no one can describe unprompted has not been communicated.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Combining the two clause 5.3 responsibilities with a role that lacks the standing to fulfil either meaningfully.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Reviewing the significant aspects register without testing whether each entry has a working, named owner.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Waiting for an external inspection to reveal a gap that an internal, named-ownership review would have found first.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role assignment as a one-time task completed at system launch rather than a standing annual check.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Pick three significant aspects at random from the current register and ask, of the person nominally responsible for each: who, by name, checks this against its limit, and how often? An answer that names a department rather than a person has failed the test.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Assign both clause 5.3 responsibilities explicitly, by name, distinguishing them clearly from general job-description language about shared environmental values; and add a confirmation step to the significant aspects register requiring each named owner to acknowledge their assignment directly, rather than assuming a document alone constitutes communication.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Conduct an annual named-ownership review across the full significant aspects register, testing whether each named individual can describe their own responsibility unprompted — the same test that would have caught the Reykjavik gap eighteen months before an inspector did.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1.7.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1.7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