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9A7B2E"/>
          <w:sz w:val="18"/>
        </w:rPr>
        <w:t>Working Material 1.8</w:t>
      </w:r>
    </w:p>
    <w:p>
      <w:pPr>
        <w:keepNext/>
        <w:spacing w:after="40" w:before="0"/>
      </w:pPr>
      <w:r>
        <w:rPr>
          <w:b/>
          <w:i w:val="0"/>
          <w:color w:val="1B2A4A"/>
          <w:sz w:val="40"/>
        </w:rPr>
        <w:t>Actions to Address Risks and Opportunities</w:t>
      </w:r>
    </w:p>
    <w:p>
      <w:pPr>
        <w:spacing w:after="160" w:before="0"/>
      </w:pPr>
      <w:r>
        <w:rPr>
          <w:b w:val="0"/>
          <w:i/>
          <w:color w:val="5A5A5A"/>
          <w:sz w:val="17"/>
        </w:rPr>
        <w:t>ISO 14001:2026 · Material date: 25 October 2026</w:t>
      </w:r>
    </w:p>
    <w:p>
      <w:pPr>
        <w:spacing w:after="160" w:before="0"/>
      </w:pPr>
      <w:r>
        <w:rPr>
          <w:b w:val="0"/>
          <w:i/>
          <w:color w:val="333333"/>
          <w:sz w:val="19"/>
        </w:rPr>
        <w:t>This sheet puts the working parts of subchapter 1.8 into editable form: the Verification Pact, the review questions, the common mistakes as a self-check and the Operative Synthesis as an action plan. The empty columns are for your property. The reasoning behind each row is in the book.</w:t>
      </w: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3EFE6"/>
            <w:tcBorders>
              <w:left w:val="single" w:sz="24" w:space="0" w:color="9A7B2E"/>
              <w:top w:val="single" w:sz="4" w:space="0" w:color="F3EFE6"/>
              <w:bottom w:val="single" w:sz="4" w:space="0" w:color="F3EFE6"/>
              <w:right w:val="single" w:sz="4" w:space="0" w:color="F3EFE6"/>
            </w:tcBorders>
          </w:tcPr>
          <w:p>
            <w:pPr>
              <w:spacing w:after="60"/>
            </w:pPr>
            <w:r>
              <w:rPr>
                <w:b/>
                <w:color w:val="9A7B2E"/>
                <w:sz w:val="17"/>
              </w:rPr>
              <w:t>GUIDING QUESTION</w:t>
            </w:r>
          </w:p>
          <w:p>
            <w:pPr>
              <w:spacing w:after="40"/>
            </w:pPr>
            <w:r>
              <w:rPr>
                <w:i w:val="0"/>
                <w:color w:val="1B2A4A"/>
                <w:sz w:val="21"/>
              </w:rPr>
              <w:t>Most environmental risk registers ask what a hotel might do to the environment. The standard asks a second question just as often overlooked: what might the environment be about to do to the hotel?</w:t>
            </w:r>
          </w:p>
        </w:tc>
      </w:tr>
    </w:tbl>
    <w:p>
      <w:pPr>
        <w:spacing w:after="40"/>
      </w:pPr>
    </w:p>
    <w:p>
      <w:pPr>
        <w:keepNext/>
        <w:spacing w:after="80" w:before="200"/>
      </w:pPr>
      <w:r>
        <w:rPr>
          <w:b/>
          <w:i w:val="0"/>
          <w:color w:val="9A7B2E"/>
          <w:sz w:val="26"/>
        </w:rPr>
        <w:t>Verification Pact: Market Claims Against the Standard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first three columns are copied from the book. In the last one, note whether this claim circulates in your property — in a proposal, a brochure, a supplier’s pitch or your own documents — and what you now hold instead.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551"/>
        <w:gridCol w:w="1190"/>
        <w:gridCol w:w="3515"/>
        <w:gridCol w:w="2381"/>
      </w:tblGrid>
      <w:tr>
        <w:trPr>
          <w:tblHeader w:val="true"/>
        </w:trPr>
        <w:tc>
          <w:tcPr>
            <w:tcW w:type="dxa" w:w="255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is claimed</w:t>
            </w:r>
          </w:p>
        </w:tc>
        <w:tc>
          <w:tcPr>
            <w:tcW w:type="dxa" w:w="119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Binding?</w:t>
            </w:r>
          </w:p>
        </w:tc>
        <w:tc>
          <w:tcPr>
            <w:tcW w:type="dxa" w:w="3515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actually holds</w:t>
            </w:r>
          </w:p>
        </w:tc>
        <w:tc>
          <w:tcPr>
            <w:tcW w:type="dxa" w:w="238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Risk determination under clause 6.1 concerns only the risk an organisation’s activities pose to the environment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Risks and opportunities under 6.1.4 are determined with the 4.1 issues in view, including the potential for external environmental conditions to affect the organisation — a distinct and equally required direction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Emergency preparedness is entirely the safety function’s responsibility and outside the environmental management system’s scope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Clause 6.1.2 specifically requires determining potential emergency situations with environmental impact, and clause 8.2 requires the system to prepare and respond to them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risk and opportunity register satisfies the clause once every category is populated with at least one entry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Substantive coverage is required, not token representation — a register covering only outward environmental risk has not addressed the clause’s full scope regardless of how many entries it contains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Climate and weather risk is a matter for a property’s insurance and business continuity planning, unrelated to the environmental management system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Where climate or weather risk has environmental consequences — as flooding reaching chemical storage does — it falls within the system’s required scope, alongside whatever separate business continuity planning also exists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Risk determination under 6.1.4 is a one-time exercise completed at system launch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Like the other planning clauses in this chapter, risk and opportunity determination is subject to ongoing review as context, aspects, and conditions change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Opportunities under this clause are limited to cost-saving or efficiency measures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Annex A frames opportunities broadly, including improved environmental performance and beneficial effects generally — not only financial efficiency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A Checklist for the Next Risk Review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Answer each question with Yes, Partly, No or N.A., and name the evidence: a record, a date, a person, a place someone can go and look. An answer without evidence is an opinion.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061"/>
        <w:gridCol w:w="2948"/>
        <w:gridCol w:w="1020"/>
        <w:gridCol w:w="2608"/>
      </w:tblGrid>
      <w:tr>
        <w:trPr>
          <w:tblHeader w:val="true"/>
        </w:trPr>
        <w:tc>
          <w:tcPr>
            <w:tcW w:type="dxa" w:w="306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294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Why it matters</w:t>
            </w:r>
          </w:p>
        </w:tc>
        <w:tc>
          <w:tcPr>
            <w:tcW w:type="dxa" w:w="102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Answer</w:t>
            </w:r>
          </w:p>
        </w:tc>
        <w:tc>
          <w:tcPr>
            <w:tcW w:type="dxa" w:w="260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Evidence</w:t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Does our register contain a meaningful number of environment-to-organisation entries, or only organisation-to-environment ones?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single imbalance this subchapter’s entire case illustrates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What does this location’s own documented history show it is capable of — flood, fire, heat, drought — and is that history reflected in the register?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Foreseeability rarely requires speculation; it usually requires consulting a record that already exists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Have we identified potential emergency situations with environmental impact specifically, distinct from general emergency planning?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This is a distinct requirement within clause 6.1.2, easily absorbed into general safety planning and then lost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Are safety planning and environmental planning connected through a shared review, or maintained as entirely separate documents?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gap between two well-run separate systems is exactly where the New Orleans flood did its damage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Does our opportunities list receive the same deliberate attention as our threats list?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 under-examined opportunities column is a quieter version of the same imbalance this subchapter addresses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Common Mistakes — Self-Check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Tick every mistake you recognise in your own property today, and write next to it where you saw it. A ticked box is not a nonconformity; it is a place to look before an auditor or an incident does.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10"/>
        <w:gridCol w:w="5726"/>
        <w:gridCol w:w="3402"/>
      </w:tblGrid>
      <w:tr>
        <w:trPr>
          <w:tblHeader w:val="true"/>
        </w:trPr>
        <w:tc>
          <w:tcPr>
            <w:tcW w:type="dxa" w:w="51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☐</w:t>
            </w:r>
          </w:p>
        </w:tc>
        <w:tc>
          <w:tcPr>
            <w:tcW w:type="dxa" w:w="5726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Mistake (from the book)</w:t>
            </w:r>
          </w:p>
        </w:tc>
        <w:tc>
          <w:tcPr>
            <w:tcW w:type="dxa" w:w="3402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Where we see it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Building a risk and opportunity register in only one direction — organisation to environment — without considering the reverse.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environmental risk and safety risk as entirely separate conversations with no formal connection.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Assuming insurance coverage satisfies the standard’s requirement to determine and address environmental risk directly.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Failing to identify potential emergency situations with environmental impact as a distinct category from general emergency planning.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Ignoring a location’s own well-documented environmental history when building the risk register.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climate and weather exposure as a business continuity matter unrelated to the environmental management system.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Never reviewing the register’s directional balance, allowing one direction to dominate indefinitely.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Addressing flood, fire, or drought risk only through structural or safety measures, without considering the specific environmental consequences — spills, contamination, system failure — each hazard could produce.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Assuming opportunities under this clause are limited to efficiency or cost-saving measures.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Waiting for an incident to reveal a risk that the property’s own location history had already made foreseeable.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Operative Synthesis — Action Plan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three horizons and their actions are copied from the book. Owner and due date are yours to fill: an action without both is a wish.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587"/>
        <w:gridCol w:w="5329"/>
        <w:gridCol w:w="1474"/>
        <w:gridCol w:w="1247"/>
      </w:tblGrid>
      <w:tr>
        <w:trPr>
          <w:tblHeader w:val="true"/>
        </w:trPr>
        <w:tc>
          <w:tcPr>
            <w:tcW w:type="dxa" w:w="158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Horizon</w:t>
            </w:r>
          </w:p>
        </w:tc>
        <w:tc>
          <w:tcPr>
            <w:tcW w:type="dxa" w:w="5329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Action from the book</w:t>
            </w:r>
          </w:p>
        </w:tc>
        <w:tc>
          <w:tcPr>
            <w:tcW w:type="dxa" w:w="1474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Owner</w:t>
            </w:r>
          </w:p>
        </w:tc>
        <w:tc>
          <w:tcPr>
            <w:tcW w:type="dxa" w:w="124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Act on immediately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Pull the current risk and opportunity register and tag every entry by direction — organisation to environment, or environment to organisation. Count each category. An imbalance this stark is itself a finding.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Plan for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Research the specific environmental hazards this property’s location has already demonstrated historically — flood, fire, heat, drought, or others relevant to context — and add each as an explicit environment-to-organisation risk; identify potential emergency situations with environmental impact specifically, distinct from general emergency planning; and connect safety planning and environmental planning through a shared, scheduled review rather than leaving them as separate documents maintained by separate teams.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Monitor going forward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Review the register’s directional balance at least annually, and track whether any newly identified environment-to-organisation risk has been translated into a physical or procedural measure, not only recorded on paper.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spacing w:after="120" w:before="0"/>
      </w:pP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FFFFF"/>
            <w:tcBorders>
              <w:left w:val="single" w:sz="24" w:space="0" w:color="C9BBA6"/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spacing w:after="60"/>
            </w:pPr>
            <w:r>
              <w:rPr>
                <w:b/>
                <w:color w:val="5A5A5A"/>
                <w:sz w:val="17"/>
              </w:rPr>
              <w:t>WHAT THIS SHEET IS NOT</w:t>
            </w:r>
          </w:p>
          <w:p>
            <w:pPr>
              <w:spacing w:after="40"/>
            </w:pPr>
            <w:r>
              <w:rPr>
                <w:i/>
                <w:color w:val="333333"/>
                <w:sz w:val="18"/>
              </w:rPr>
              <w:t>ISO 14001 does not prescribe this form. No clause asks for this worksheet, its columns or a register of market claims; the standard sets requirements and leaves the means to the organisation. This sheet is a working aid drawn from the book: use it, change it or set it aside. Where it touches a requirement, the text of ISO 14001:2026 is the authority, not this page — and nothing on it replaces your own reading of that text.</w:t>
            </w:r>
          </w:p>
        </w:tc>
      </w:tr>
    </w:tbl>
    <w:p>
      <w:pPr>
        <w:spacing w:after="40"/>
      </w:pPr>
    </w:p>
    <w:p>
      <w:pPr>
        <w:spacing w:after="80" w:before="80"/>
      </w:pPr>
      <w:r>
        <w:rPr>
          <w:b w:val="0"/>
          <w:i w:val="0"/>
          <w:color w:val="9A7B2E"/>
          <w:sz w:val="16"/>
        </w:rPr>
        <w:t>Source: Francesco Dore, The Helm and the Lens, Volume 1a — ISO 14001:2026, subchapter 1.8. Edizioni Effedore 2026. © 2026 Francesco Dore. Free to adapt for use in your own property. enbooks.effedore.com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A5A5A"/>
        <w:sz w:val="16"/>
      </w:rPr>
      <w:t xml:space="preserve">The Helm and the Lens · Volume 1a · Working material 1.8 · enbooks.effedore.com · page </w:t>
    </w:r>
    <w:r>
      <w:rPr>
        <w:color w:val="5A5A5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C9BBA6"/>
      </w:pBdr>
    </w:pPr>
    <w:r/>
    <w:r>
      <w:rPr>
        <w:b/>
        <w:color w:val="9A7B2E"/>
        <w:sz w:val="17"/>
      </w:rPr>
      <w:t>The Helm and the Lens · Volume 1a · ISO 14001:2026 — The Helm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