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2.1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Resources: What an Environmental System Actually Costs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2.1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budget line and a job title prove that resources were allocated once. They prove nothing about whether those resources still match what the system has grown to require.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resource allocation determined at system launch satisfies clause 7.1 indefinitely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resources needed for maintenance and continual improvement, which by definition change as the system itself changes over time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existence of a named role and a budget line is sufficient evidence of resource adequacy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Adequacy is a question of whether the resource matches current system requirements, not whether a resource of some kind formally exists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Adding a new objective or compliance obligation to the system is a decision independent of the resourcing that supports it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Each addition to the system increases what clause 7.1 requires the organisation to resource; approving new scope without revisiting resourcing addresses only half of what the clause requires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dedicated employee’s willingness to absorb growing responsibility without complaint is evidence the current resourcing is adequate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employee’s informal triage under an unsustainable workload is evidence of a resourcing gap, not evidence of its absence — the gap is simply invisible until something specific fails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Resource adequacy is primarily a financial question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Annex A names human resources, infrastructure, technology, and natural resources alongside financial resources — time allocation specifically is a human resource question independent of budget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system that has passed every certification audit to date has, by definition, been adequately resourced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audit examining documentation and outcomes may not surface a resourcing gap that a diligent employee’s own triage has, until that point, successfully concealed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Resourcing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When was our current resourcing level last calculated against actual current system scope, not assumed adequate from an earlier point?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question the Dubai case turns on entirely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adopting a new objective, aspect, or obligation trigger a resourcing check, or does scope simply accumulate silently?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what would have caught the gap at any of a dozen points across five years, rather than only at the end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asked the person responsible for the system directly what they have quietly stopped doing to manage their workload?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the question that would have surfaced the coordinator’s triage years before a covenant went unmonitored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organisation have a track record of responding to workload concerns with support, or with advice to prioritise better?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signal an organisation sends the first time determines whether anyone raises it a second time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distinguished a resourcing gap from an individual performance issue when a specific failure surfaces?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Confusing the two, as the counter-case shows, corrects nothing and adds harm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Determining resource adequacy once, at system launch, and never revisiting it as the system grows.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Approving new objectives, aspects, or compliance obligations without a corresponding resourcing assessment.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the existence of a role and a budget line as evidence of adequacy, rather than testing the actual ratio between requirement and capacity.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 conscientious employee’s informal triage to conceal a resourcing gap indefinitely.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a missed obligation as an individual performance failure rather than as evidence of a structural resourcing shortfall.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resource adequacy is primarily a financial question, overlooking time, expertise, and infrastructure as resources in their own right.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connect major property expansions or new operating areas to an explicit resourcing review timed with the expansion itself.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system that has passed certification audits is, by definition, adequately resourced.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discovered gap with a narrow, single-issue fix rather than a genuine review of the underlying ratio.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Reprimanding an overloaded employee’s triage decisions without addressing the workload that produced them.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Calculate, honestly and specifically, the current hours the environmental management system’s full scope actually demands — every objective, every compliance obligation, every significant aspect’s monitoring or verification need — and compare that figure directly against the time currently allocated to the person or team responsible for it.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Establish a standing requirement that any proposal to add a new objective, aspect, or compliance obligation include an explicit resourcing assessment before adoption; and review the current allocation against actual system scope at least annually, independent of whether any specific gap has yet surfaced.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Ask the person responsible for the system directly, and regularly, what they have stopped doing or reduced in frequency to manage their current workload — treating any honest answer as a resourcing finding requiring action, not a performance concern requiring correction.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2.1.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2.1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