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2.10</w:t>
      </w:r>
    </w:p>
    <w:p>
      <w:pPr>
        <w:keepNext/>
        <w:spacing w:after="40" w:before="0"/>
      </w:pPr>
      <w:r>
        <w:rPr>
          <w:b/>
          <w:i w:val="0"/>
          <w:color w:val="1B2A4A"/>
          <w:sz w:val="40"/>
        </w:rPr>
        <w:t>Water Stewardship in a Water-Intensive Industry</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2.10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hotel group builds sophisticated energy monitoring because energy was the dominant risk at every property it has ever operated before. What happens when it opens its first property in a city where water, not energy, is the resource genuinely running short?</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Energy is inherently the primary environmental concern for any hospitality environmental management system</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Significance is determined by an organisation’s own specific context; in water-stressed regions, water may represent the more material risk</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monitoring template proven effective at one property transfers appropriately to any new property regardless of context</w:t>
            </w:r>
          </w:p>
        </w:tc>
        <w:tc>
          <w:tcPr>
            <w:tcW w:type="dxa" w:w="1191"/>
          </w:tcPr>
          <w:p>
            <w:pPr>
              <w:spacing w:after="0"/>
            </w:pPr>
            <w:r/>
            <w:r>
              <w:rPr>
                <w:b w:val="0"/>
                <w:i w:val="0"/>
                <w:sz w:val="17"/>
              </w:rPr>
              <w:t>No</w:t>
            </w:r>
          </w:p>
        </w:tc>
        <w:tc>
          <w:tcPr>
            <w:tcW w:type="dxa" w:w="3515"/>
          </w:tcPr>
          <w:p>
            <w:pPr>
              <w:spacing w:after="0"/>
            </w:pPr>
            <w:r/>
            <w:r>
              <w:rPr>
                <w:b w:val="0"/>
                <w:i w:val="0"/>
                <w:sz w:val="17"/>
              </w:rPr>
              <w:t>Clause 6.1.2’s significance determination must reflect each specific context; a template is a starting point for analysis, not a substitute for it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An organisation’s general environmental management sophistication is evidence that every significant aspect receives proportionate attention</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Sophistication can be genuinely high in one area while genuinely inadequate in another, as Perth’s energy-water contrast demonstrates directly</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context analysis correctly identifying a resource as significant satisfies the standard’s requirements regarding that resource</w:t>
            </w:r>
          </w:p>
        </w:tc>
        <w:tc>
          <w:tcPr>
            <w:tcW w:type="dxa" w:w="1191"/>
          </w:tcPr>
          <w:p>
            <w:pPr>
              <w:spacing w:after="0"/>
            </w:pPr>
            <w:r/>
            <w:r>
              <w:rPr>
                <w:b w:val="0"/>
                <w:i w:val="0"/>
                <w:sz w:val="17"/>
              </w:rPr>
              <w:t>Not on its own</w:t>
            </w:r>
          </w:p>
        </w:tc>
        <w:tc>
          <w:tcPr>
            <w:tcW w:type="dxa" w:w="3515"/>
          </w:tcPr>
          <w:p>
            <w:pPr>
              <w:spacing w:after="0"/>
            </w:pPr>
            <w:r/>
            <w:r>
              <w:rPr>
                <w:b w:val="0"/>
                <w:i w:val="0"/>
                <w:sz w:val="17"/>
              </w:rPr>
              <w:t>Clauses 6.1.5 and 6.2.1 require significant aspects to be taken into account in planning action and setting objectives; a separate objective is not automatically required, but identification with no corresponding objective, control or monitoring leaves the aspect unmanaged</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single master meter, reviewed monthly, provides adequate monitoring for any resource regardless of its significance level</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Monitoring adequacy should be proportionate to significance; a resource identified as the property’s primary material risk warrants monitoring granularity comparable to what a lower-risk resource elsewhere receives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Regional water scarcity is a public policy and utility concern separate from an individual property’s own environmental management responsibilities</w:t>
            </w:r>
          </w:p>
        </w:tc>
        <w:tc>
          <w:tcPr>
            <w:tcW w:type="dxa" w:w="1191"/>
          </w:tcPr>
          <w:p>
            <w:pPr>
              <w:spacing w:after="0"/>
            </w:pPr>
            <w:r/>
            <w:r>
              <w:rPr>
                <w:b w:val="0"/>
                <w:i w:val="0"/>
                <w:sz w:val="17"/>
              </w:rPr>
              <w:t>No</w:t>
            </w:r>
          </w:p>
        </w:tc>
        <w:tc>
          <w:tcPr>
            <w:tcW w:type="dxa" w:w="3515"/>
          </w:tcPr>
          <w:p>
            <w:pPr>
              <w:spacing w:after="0"/>
            </w:pPr>
            <w:r/>
            <w:r>
              <w:rPr>
                <w:b w:val="0"/>
                <w:i w:val="0"/>
                <w:sz w:val="17"/>
              </w:rPr>
              <w:t>Where regional scarcity makes a resource the property’s own most significant environmental aspect, the standard’s requirements apply to it with the same force as any other significant aspect</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Monitoring Investment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Does our monitoring investment across major resources match our own context analysis’s significance ranking, or does it follow a template developed elsewhere?</w:t>
            </w:r>
          </w:p>
        </w:tc>
        <w:tc>
          <w:tcPr>
            <w:tcW w:type="dxa" w:w="2948"/>
            <w:shd w:val="clear" w:color="auto" w:fill="F3EFE6"/>
          </w:tcPr>
          <w:p>
            <w:pPr>
              <w:spacing w:after="0"/>
            </w:pPr>
            <w:r/>
            <w:r>
              <w:rPr>
                <w:b w:val="0"/>
                <w:i w:val="0"/>
                <w:sz w:val="17"/>
              </w:rPr>
              <w:t>The exact mismatch this entire case turns 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If our best-monitored resource and our most significant resource are not the same, why not?</w:t>
            </w:r>
          </w:p>
        </w:tc>
        <w:tc>
          <w:tcPr>
            <w:tcW w:type="dxa" w:w="2948"/>
          </w:tcPr>
          <w:p>
            <w:pPr>
              <w:spacing w:after="0"/>
            </w:pPr>
            <w:r/>
            <w:r>
              <w:rPr>
                <w:b w:val="0"/>
                <w:i w:val="0"/>
                <w:sz w:val="17"/>
              </w:rPr>
              <w:t>A genuine answer should exist; if none does, the gap is likely unexamined rather than deliberate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Would an anomaly in our most significant resource be caught within days, or only when a monthly invoice happens to look unusual?</w:t>
            </w:r>
          </w:p>
        </w:tc>
        <w:tc>
          <w:tcPr>
            <w:tcW w:type="dxa" w:w="2948"/>
            <w:shd w:val="clear" w:color="auto" w:fill="F3EFE6"/>
          </w:tcPr>
          <w:p>
            <w:pPr>
              <w:spacing w:after="0"/>
            </w:pPr>
            <w:r/>
            <w:r>
              <w:rPr>
                <w:b w:val="0"/>
                <w:i w:val="0"/>
                <w:sz w:val="17"/>
              </w:rPr>
              <w:t>This is the practical test Perth’s own gap would have failed for months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Has this property’s monitoring approach been independently verified against its own context, or inherited from a template proven elsewhere?</w:t>
            </w:r>
          </w:p>
        </w:tc>
        <w:tc>
          <w:tcPr>
            <w:tcW w:type="dxa" w:w="2948"/>
          </w:tcPr>
          <w:p>
            <w:pPr>
              <w:spacing w:after="0"/>
            </w:pPr>
            <w:r/>
            <w:r>
              <w:rPr>
                <w:b w:val="0"/>
                <w:i w:val="0"/>
                <w:sz w:val="17"/>
              </w:rPr>
              <w:t>Organisational expertise built in one market carries no automatic relevance to a different one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organisation’s reputation for sophistication in one area create false confidence about attention elsewhere?</w:t>
            </w:r>
          </w:p>
        </w:tc>
        <w:tc>
          <w:tcPr>
            <w:tcW w:type="dxa" w:w="2948"/>
            <w:shd w:val="clear" w:color="auto" w:fill="F3EFE6"/>
          </w:tcPr>
          <w:p>
            <w:pPr>
              <w:spacing w:after="0"/>
            </w:pPr>
            <w:r/>
            <w:r>
              <w:rPr>
                <w:b w:val="0"/>
                <w:i w:val="0"/>
                <w:sz w:val="17"/>
              </w:rPr>
              <w:t>Perth’s own strong energy reputation is precisely what delayed scrutiny of its water gap</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Applying a monitoring template developed for one regional context to a new property without verifying it matches that property’s own specific significance profile.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Allowing an organisation’s general environmental management sophistication in one area to create false confidence about proportionate attention elsewhere.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Correctly identifying a resource as significant in a context analysis without connecting that identification to actual monitoring investment.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energy is inherently the dominant environmental concern regardless of a property’s own specific regional water context.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Relying on a single aggregate meter for a resource whose significance would warrant granular, zone-level monitoring.</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regional water scarcity as a public utility concern separate from the property’s own environmental management responsibility.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Responding to a discovered loss by fixing the specific instance without examining the broader monitoring gap that allowed it to go undetected.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require an explicit significance comparison across resources before finalising monitoring investment at a new property.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resource’s lower monitoring investment reflects a deliberate significance judgement rather than an unexamined inherited default.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organisational expertise built in one market as automatically transferable to a genuinely different one without reverification.</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Compare the property’s own significance ranking of its major environmental aspects directly against its actual monitoring sophistication for each, and flag any resource ranked highly in significance but monitored with materially less rigor than a lower-ranked resource receives.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Install monitoring granularity proportionate to each resource’s genuine significance, not to whatever template the organisation has used successfully elsewhere; and require an explicit resource significance comparison at every new property before finalising monitoring investment.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Review the alignment between significance ranking and monitoring investment periodically, treating any growing mismatch as an early warning worth acting on before it produces an undetected loss of the kind this case describes.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2.10.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2.10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