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2.14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Nonconformity and Corrective Action: The First Response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2.14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Fixing the number on the report and fixing the reason the number was wrong in the first place are two different achievements. An owner in a hurry can buy the first cheaply. Only the second actually prevents the same failure from happening somewhere else in the portfolio.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Correcting a nonconformity’s visible symptom and restoring compliance satisfies clause 10.2 in full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separately requires evaluating and, where needed, eliminating the underlying cause — correction alone addresses only the first of several required steps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commercial deadline, however significant, justifies limiting a corrective action response to what can be completed within that deadline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clause’s requirements do not vary based on external commercial timelines; a deadline may reasonably affect sequencing but does not excuse never completing the required steps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If a similar nonconformity has not yet occurred at other locations, no obligation exists to check whether the same cause could produce one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explicitly requires determining whether similar nonconformities could potentially occur, not only whether they already have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finding marked “resolved” in an organisation’s own tracking system reliably indicates the underlying cause has been addressed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Not necessarily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status marking can reflect symptom correction alone, as at Hong Kong, without the status itself distinguishing this from genuine root-cause resolution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External due diligence review of an organisation’s environmental findings provides genuine assurance that underlying issues have been properly addressed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Not automatically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Due diligence reviewing a finding’s closure status, without independently verifying root-cause work occurred, can be satisfied by exactly the kind of surface-level closure Hong Kong produced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Root-cause investigation and portfolio-wide similar-case checks can reasonably be deferred indefinitely if operational attention is genuinely limited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requires this evaluation as part of the standard response to any nonconformity; indefinite deferral without an explicit, reasoned decision leaves the requirement unmet, consistent with this volume’s earlier examination of the difference between genuine decisions and open-ended postponement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Nonconformity Closure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Has the visible symptom been corrected, and separately, has the underlying cause been identified?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two are distinct requirements; closing on the first alone leaves the clause only partially satisfied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Has anyone checked whether the identified cause exists elsewhere in the property or portfolio?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This is the specific step Hong Kong’s rushed closure skipped entirely, with direct consequence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If a deadline compressed the visible correction, has root-cause work been explicitly scheduled on its own separate timeline, or simply left to informal intention?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unscheduled intention, as at Hong Kong, rarely survives competing priorities once visible pressure lifts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our tracking system distinguish “correction complete” from “corrective action complete,” or does one status imply both?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single collapsed status is precisely what allowed Hong Kong’s finding to appear fully resolved when it was not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When investigating a cause, have we asked why it went undetected, not only what failed?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deeper procurement-driven cause behind Hong Kong’s own maintenance gap would never have surfaced without this second question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correction of a nonconformity’s visible symptom as satisfying the entire clause 10.2 requirement.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Allowing a commercial deadline to compress or eliminate root-cause investigation entirely, rather than only affecting sequencing.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check whether an identified cause exists at other locations sharing the same equipment or process.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Marking a finding “resolved” based on symptom correction alone, without a status distinguishing this from genuine root-cause resolution.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due diligence review of a closed finding provides assurance that underlying causes were actually addressed.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Communicating deadline urgency to an operational team without explicitly distinguishing correction urgency from corrective action requirements.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Responding to a discovered gap with more detailed documentation rather than genuine additional investigation.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Deferring root-cause investigation indefinitely once an external deadline passes, without any explicit decision or tracked timeline to complete it.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transparency about ongoing corrective action work as a reputational risk rather than a credibility asset.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connect a finding involving shared equipment or process to an automatic portfolio-wide review trigger.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Review the property’s or group’s recently closed nonconformities and ask, of each one: was a specific root cause identified and documented, and was any check performed for the same cause existing elsewhere? A closed status alone does not answer either question.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Redesign nonconformity tracking to separate correction and corrective action into distinct required statuses; and build a mandatory portfolio-wide similar-case check into the corrective action process for any finding involving shared equipment, systems, or processes.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Track the interval between a finding’s correction and its full corrective action completion, treating any pattern of correction closing quickly while corrective action never formally completes as a systemic risk worth escalating, regardless of how commercially reasonable each individual instance of deadline pressure may have seemed at the time.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2.14.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2.14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