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2.15</w:t>
      </w:r>
    </w:p>
    <w:p>
      <w:pPr>
        <w:keepNext/>
        <w:spacing w:after="40" w:before="0"/>
      </w:pPr>
      <w:r>
        <w:rPr>
          <w:b/>
          <w:i w:val="0"/>
          <w:color w:val="1B2A4A"/>
          <w:sz w:val="40"/>
        </w:rPr>
        <w:t>Continual Improvement and the Path to Certification</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2.15 into editable form: the Verification Pact, the review questions,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Certification proves a system was sound enough to pass on the day someone came to look. What does an organisation actually believe it has finished, the morning after the certificate arrives?</w:t>
            </w:r>
          </w:p>
        </w:tc>
      </w:tr>
    </w:tbl>
    <w:p>
      <w:pPr>
        <w:spacing w:after="40"/>
      </w:pPr>
    </w:p>
    <w:p>
      <w:pPr>
        <w:keepNext/>
        <w:spacing w:after="80" w:before="200"/>
      </w:pPr>
      <w:r>
        <w:rPr>
          <w:b/>
          <w:i w:val="0"/>
          <w:color w:val="9A7B2E"/>
          <w:sz w:val="26"/>
        </w:rPr>
        <w:t>Verification Pact: Market Claims Against the Standard</w:t>
      </w:r>
    </w:p>
    <w:p>
      <w:pPr>
        <w:keepNext/>
        <w:spacing w:after="80" w:before="0"/>
      </w:pPr>
      <w:r>
        <w:rPr>
          <w:b w:val="0"/>
          <w:i/>
          <w:color w:val="5A5A5A"/>
          <w:sz w:val="18"/>
        </w:rPr>
        <w:t>The first three columns are copied from the book. In the last one, note whether this claim circulates in your property — in a proposal, a brochure, a supplier’s pitch or your own documents — and what you now hold instead.</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551"/>
        <w:gridCol w:w="1190"/>
        <w:gridCol w:w="3515"/>
        <w:gridCol w:w="2381"/>
      </w:tblGrid>
      <w:tr>
        <w:trPr>
          <w:tblHeader w:val="true"/>
        </w:trPr>
        <w:tc>
          <w:tcPr>
            <w:tcW w:type="dxa" w:w="2551"/>
            <w:shd w:val="clear" w:color="auto" w:fill="1B2A4A"/>
          </w:tcPr>
          <w:p>
            <w:pPr>
              <w:spacing w:after="0"/>
            </w:pPr>
            <w:r/>
            <w:r>
              <w:rPr>
                <w:b/>
                <w:i w:val="0"/>
                <w:color w:val="FFFFFF"/>
                <w:sz w:val="17"/>
              </w:rPr>
              <w:t>What is claimed</w:t>
            </w:r>
          </w:p>
        </w:tc>
        <w:tc>
          <w:tcPr>
            <w:tcW w:type="dxa" w:w="1191"/>
            <w:shd w:val="clear" w:color="auto" w:fill="1B2A4A"/>
          </w:tcPr>
          <w:p>
            <w:pPr>
              <w:spacing w:after="0"/>
            </w:pPr>
            <w:r/>
            <w:r>
              <w:rPr>
                <w:b/>
                <w:i w:val="0"/>
                <w:color w:val="FFFFFF"/>
                <w:sz w:val="17"/>
              </w:rPr>
              <w:t>Binding?</w:t>
            </w:r>
          </w:p>
        </w:tc>
        <w:tc>
          <w:tcPr>
            <w:tcW w:type="dxa" w:w="3515"/>
            <w:shd w:val="clear" w:color="auto" w:fill="1B2A4A"/>
          </w:tcPr>
          <w:p>
            <w:pPr>
              <w:spacing w:after="0"/>
            </w:pPr>
            <w:r/>
            <w:r>
              <w:rPr>
                <w:b/>
                <w:i w:val="0"/>
                <w:color w:val="FFFFFF"/>
                <w:sz w:val="17"/>
              </w:rPr>
              <w:t>What actually holds</w:t>
            </w:r>
          </w:p>
        </w:tc>
        <w:tc>
          <w:tcPr>
            <w:tcW w:type="dxa" w:w="2381"/>
            <w:shd w:val="clear" w:color="auto" w:fill="1B2A4A"/>
          </w:tcPr>
          <w:p>
            <w:pPr>
              <w:spacing w:after="0"/>
            </w:pPr>
            <w:r/>
            <w:r>
              <w:rPr>
                <w:b/>
                <w:i w:val="0"/>
                <w:color w:val="FFFFFF"/>
                <w:sz w:val="17"/>
              </w:rPr>
              <w:t>In our property</w:t>
            </w:r>
          </w:p>
        </w:tc>
      </w:tr>
      <w:tr>
        <w:trPr>
          <w:cantSplit w:val="true"/>
        </w:trPr>
        <w:tc>
          <w:tcPr>
            <w:tcW w:type="dxa" w:w="2551"/>
            <w:shd w:val="clear" w:color="auto" w:fill="F3EFE6"/>
          </w:tcPr>
          <w:p>
            <w:pPr>
              <w:spacing w:after="0"/>
            </w:pPr>
            <w:r/>
            <w:r>
              <w:rPr>
                <w:b w:val="0"/>
                <w:i w:val="0"/>
                <w:sz w:val="17"/>
              </w:rPr>
              <w:t>Achieving certification satisfies clause 10.1’s continual improvement requirement</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clause requires ongoing improvement with no relationship to certification status; certification assesses a system’s condition, it does not satisfy an ongoing requirement on the organisation’s behalf</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An organisation may reasonably reduce its own internal scrutiny once external certification confirms system adequacy</w:t>
            </w:r>
          </w:p>
        </w:tc>
        <w:tc>
          <w:tcPr>
            <w:tcW w:type="dxa" w:w="1191"/>
          </w:tcPr>
          <w:p>
            <w:pPr>
              <w:spacing w:after="0"/>
            </w:pPr>
            <w:r/>
            <w:r>
              <w:rPr>
                <w:b w:val="0"/>
                <w:i w:val="0"/>
                <w:sz w:val="17"/>
              </w:rPr>
              <w:t>No</w:t>
            </w:r>
          </w:p>
        </w:tc>
        <w:tc>
          <w:tcPr>
            <w:tcW w:type="dxa" w:w="3515"/>
          </w:tcPr>
          <w:p>
            <w:pPr>
              <w:spacing w:after="0"/>
            </w:pPr>
            <w:r/>
            <w:r>
              <w:rPr>
                <w:b w:val="0"/>
                <w:i w:val="0"/>
                <w:sz w:val="17"/>
              </w:rPr>
              <w:t>Certification rests on sampled evidence gathered at planned intervals; reducing internal scrutiny specifically because external scrutiny has passed inverts the relationship between the two</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Continual improvement requires visible new initiatives, distinct from maintaining existing measures</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Clause 10.1 frames improvement around suitability, adequacy and effectiveness to enhance environmental performance; a visible new initiative is not required, but maintenance alone is not enough either — the organisation must show how its improvement activity, including adapting existing controls to a changing reality, enhances performance</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property with a strong, well-documented environmental management system requires less ongoing vigilance than one with a weaker system</w:t>
            </w:r>
          </w:p>
        </w:tc>
        <w:tc>
          <w:tcPr>
            <w:tcW w:type="dxa" w:w="1191"/>
          </w:tcPr>
          <w:p>
            <w:pPr>
              <w:spacing w:after="0"/>
            </w:pPr>
            <w:r/>
            <w:r>
              <w:rPr>
                <w:b w:val="0"/>
                <w:i w:val="0"/>
                <w:sz w:val="17"/>
              </w:rPr>
              <w:t>No, and often the reverse</w:t>
            </w:r>
          </w:p>
        </w:tc>
        <w:tc>
          <w:tcPr>
            <w:tcW w:type="dxa" w:w="3515"/>
          </w:tcPr>
          <w:p>
            <w:pPr>
              <w:spacing w:after="0"/>
            </w:pPr>
            <w:r/>
            <w:r>
              <w:rPr>
                <w:b w:val="0"/>
                <w:i w:val="0"/>
                <w:sz w:val="17"/>
              </w:rPr>
              <w:t>This volume’s own recurring pattern shows genuine sophistication in one area repeatedly producing exactly the confidence that discourages scrutiny elsewhere, as at Perth and at Seoul specifically</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Preparing intensively for a certification audit and then relaxing afterward is a reasonable, sustainable operating rhythm</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clause’s recurring framing is poorly served by an intensity cycle keyed to external audit timing rather than to the system’s own ongoing needs</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Certification is the appropriate measure of whether an organisation has genuinely internalised this volume’s lessons</w:t>
            </w:r>
          </w:p>
        </w:tc>
        <w:tc>
          <w:tcPr>
            <w:tcW w:type="dxa" w:w="1191"/>
          </w:tcPr>
          <w:p>
            <w:pPr>
              <w:spacing w:after="0"/>
            </w:pPr>
            <w:r/>
            <w:r>
              <w:rPr>
                <w:b w:val="0"/>
                <w:i w:val="0"/>
                <w:sz w:val="17"/>
              </w:rPr>
              <w:t>Only partially</w:t>
            </w:r>
          </w:p>
        </w:tc>
        <w:tc>
          <w:tcPr>
            <w:tcW w:type="dxa" w:w="3515"/>
          </w:tcPr>
          <w:p>
            <w:pPr>
              <w:spacing w:after="0"/>
            </w:pPr>
            <w:r/>
            <w:r>
              <w:rPr>
                <w:b w:val="0"/>
                <w:i w:val="0"/>
                <w:sz w:val="17"/>
              </w:rPr>
              <w:t>Genuine internalisation is better measured by whether the specific disciplines this volume has argued for — trend indicators, decision-forcing reviews, similar-case checks across the system’s scope — continue the month after certification, changed only where risk, effectiveness or maturity justify it, not because the audit has passed</w:t>
            </w:r>
          </w:p>
        </w:tc>
        <w:tc>
          <w:tcPr>
            <w:tcW w:type="dxa" w:w="2381"/>
            <w:shd w:val="clear" w:color="auto" w:fill="FFFFFF"/>
          </w:tcPr>
          <w:p>
            <w:pPr>
              <w:spacing w:after="0"/>
            </w:pPr>
            <w:r/>
            <w:r>
              <w:rPr>
                <w:b w:val="0"/>
                <w:i w:val="0"/>
                <w:sz w:val="17"/>
              </w:rPr>
            </w:r>
          </w:p>
        </w:tc>
      </w:tr>
    </w:tbl>
    <w:p>
      <w:pPr>
        <w:keepNext/>
        <w:spacing w:after="80" w:before="200"/>
      </w:pPr>
      <w:r>
        <w:rPr>
          <w:b/>
          <w:i w:val="0"/>
          <w:color w:val="9A7B2E"/>
          <w:sz w:val="26"/>
        </w:rPr>
        <w:t>A Closing Checklist for the Volume as a Whole</w:t>
      </w:r>
    </w:p>
    <w:p>
      <w:pPr>
        <w:keepNext/>
        <w:spacing w:after="80" w:before="0"/>
      </w:pPr>
      <w:r>
        <w:rPr>
          <w:b w:val="0"/>
          <w:i/>
          <w:color w:val="5A5A5A"/>
          <w:sz w:val="18"/>
        </w:rPr>
        <w:t>Answer each question with Yes, Partly, No or N.A., and name the evidence: a record, a date, a person, a place someone can go and look. An answer without evidence is an opinion.</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061"/>
        <w:gridCol w:w="2948"/>
        <w:gridCol w:w="1020"/>
        <w:gridCol w:w="2608"/>
      </w:tblGrid>
      <w:tr>
        <w:trPr>
          <w:tblHeader w:val="true"/>
        </w:trPr>
        <w:tc>
          <w:tcPr>
            <w:tcW w:type="dxa" w:w="3061"/>
            <w:shd w:val="clear" w:color="auto" w:fill="1B2A4A"/>
          </w:tcPr>
          <w:p>
            <w:pPr>
              <w:spacing w:after="0"/>
            </w:pPr>
            <w:r/>
            <w:r>
              <w:rPr>
                <w:b/>
                <w:i w:val="0"/>
                <w:color w:val="FFFFFF"/>
                <w:sz w:val="17"/>
              </w:rPr>
              <w:t>Question</w:t>
            </w:r>
          </w:p>
        </w:tc>
        <w:tc>
          <w:tcPr>
            <w:tcW w:type="dxa" w:w="2948"/>
            <w:shd w:val="clear" w:color="auto" w:fill="1B2A4A"/>
          </w:tcPr>
          <w:p>
            <w:pPr>
              <w:spacing w:after="0"/>
            </w:pPr>
            <w:r/>
            <w:r>
              <w:rPr>
                <w:b/>
                <w:i w:val="0"/>
                <w:color w:val="FFFFFF"/>
                <w:sz w:val="17"/>
              </w:rPr>
              <w:t>Why it matters</w:t>
            </w:r>
          </w:p>
        </w:tc>
        <w:tc>
          <w:tcPr>
            <w:tcW w:type="dxa" w:w="1020"/>
            <w:shd w:val="clear" w:color="auto" w:fill="1B2A4A"/>
          </w:tcPr>
          <w:p>
            <w:pPr>
              <w:spacing w:after="0"/>
            </w:pPr>
            <w:r/>
            <w:r>
              <w:rPr>
                <w:b/>
                <w:i w:val="0"/>
                <w:color w:val="FFFFFF"/>
                <w:sz w:val="17"/>
              </w:rPr>
              <w:t>Answer</w:t>
            </w:r>
          </w:p>
        </w:tc>
        <w:tc>
          <w:tcPr>
            <w:tcW w:type="dxa" w:w="2608"/>
            <w:shd w:val="clear" w:color="auto" w:fill="1B2A4A"/>
          </w:tcPr>
          <w:p>
            <w:pPr>
              <w:spacing w:after="0"/>
            </w:pPr>
            <w:r/>
            <w:r>
              <w:rPr>
                <w:b/>
                <w:i w:val="0"/>
                <w:color w:val="FFFFFF"/>
                <w:sz w:val="17"/>
              </w:rPr>
              <w:t>Evidence</w:t>
            </w:r>
          </w:p>
        </w:tc>
      </w:tr>
      <w:tr>
        <w:trPr>
          <w:cantSplit w:val="true"/>
          <w:trHeight w:val="680" w:hRule="atLeast"/>
        </w:trPr>
        <w:tc>
          <w:tcPr>
            <w:tcW w:type="dxa" w:w="3061"/>
            <w:shd w:val="clear" w:color="auto" w:fill="F3EFE6"/>
          </w:tcPr>
          <w:p>
            <w:pPr>
              <w:spacing w:after="0"/>
            </w:pPr>
            <w:r/>
            <w:r>
              <w:rPr>
                <w:b w:val="0"/>
                <w:i w:val="0"/>
                <w:sz w:val="17"/>
              </w:rPr>
              <w:t>Does every standing discipline this volume has argued for have an owner who will still be asking about it a year from now, audit or no audit?</w:t>
            </w:r>
          </w:p>
        </w:tc>
        <w:tc>
          <w:tcPr>
            <w:tcW w:type="dxa" w:w="2948"/>
            <w:shd w:val="clear" w:color="auto" w:fill="F3EFE6"/>
          </w:tcPr>
          <w:p>
            <w:pPr>
              <w:spacing w:after="0"/>
            </w:pPr>
            <w:r/>
            <w:r>
              <w:rPr>
                <w:b w:val="0"/>
                <w:i w:val="0"/>
                <w:sz w:val="17"/>
              </w:rPr>
              <w:t>Ownership without a name, this volume has shown repeatedly, is ownership by no one</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Is the organisation’s own language about certification framing it as arrival or as ongoing confirmation?</w:t>
            </w:r>
          </w:p>
        </w:tc>
        <w:tc>
          <w:tcPr>
            <w:tcW w:type="dxa" w:w="2948"/>
          </w:tcPr>
          <w:p>
            <w:pPr>
              <w:spacing w:after="0"/>
            </w:pPr>
            <w:r/>
            <w:r>
              <w:rPr>
                <w:b w:val="0"/>
                <w:i w:val="0"/>
                <w:sz w:val="17"/>
              </w:rPr>
              <w:t>Language shapes expectation, and expectation shapes what actually happens the month after the audit</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Would a fresh pair of eyes, unfamiliar with the property’s own history, find every dashboard indicator, every review decision, and every documented procedure exactly as current as they should be?</w:t>
            </w:r>
          </w:p>
        </w:tc>
        <w:tc>
          <w:tcPr>
            <w:tcW w:type="dxa" w:w="2948"/>
            <w:shd w:val="clear" w:color="auto" w:fill="F3EFE6"/>
          </w:tcPr>
          <w:p>
            <w:pPr>
              <w:spacing w:after="0"/>
            </w:pPr>
            <w:r/>
            <w:r>
              <w:rPr>
                <w:b w:val="0"/>
                <w:i w:val="0"/>
                <w:sz w:val="17"/>
              </w:rPr>
              <w:t>This volume’s own recurring lesson: the gaps that matter most are invisible from inside the routine that produced them</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Has the organisation scheduled its next genuine test of the system, not only its next audit?</w:t>
            </w:r>
          </w:p>
        </w:tc>
        <w:tc>
          <w:tcPr>
            <w:tcW w:type="dxa" w:w="2948"/>
          </w:tcPr>
          <w:p>
            <w:pPr>
              <w:spacing w:after="0"/>
            </w:pPr>
            <w:r/>
            <w:r>
              <w:rPr>
                <w:b w:val="0"/>
                <w:i w:val="0"/>
                <w:sz w:val="17"/>
              </w:rPr>
              <w:t>An audit tests what a system can demonstrate; a genuine internal test, of the kind this volume has argued for throughout, tests what it can actually do</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certification as a finish line rather than as sampled evidence of a system’s condition at the time of audit.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Reducing internal scrutiny specifically because external certification scrutiny has recently passed.</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a clean audit history reduces the need for ongoing vigilance rather than recognising the confidence risk this volume has demonstrated repeatedly.</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Treating continual improvement as requiring visible new initiatives rather than genuine maintenance of existing measures.</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Operating on an intensity cycle keyed to audit timing rather than to the system’s own ongoing requirements.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Leaving the period immediately after certification structurally unplanned, with no scheduled check on whether standing disciplines continue.</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Communicating certification internally as arrival or completion rather than as external confirmation of continuous practice.</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Allowing an organisation’s own language about certification to shape staff expectations toward relaxation rather than continuity.</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Failing to separate internal review rhythm from external audit calendar, allowing the two to become implicitly linked.</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Assuming this volume’s own arguments apply only until certification is achieved, rather than as a permanent operating discipline.</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Ask directly, of whoever leads the property’s environmental management system: what specific activity, review, or scrutiny is scheduled to change in the month immediately following the next certification or recertification audit? Any answer describing reduced attention identifies a risk worth correcting before the audit occurs, not after.</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Schedule a specific post-certification review before the certification audit itself takes place, explicitly confirming every standing discipline continues, adjusted only on the basis of risk and effectiveness; and adjust internal communication language to frame certification as confirmation of continuous practice rather than as an achievement marking completion.</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Separate internal review rhythm entirely from external audit calendar, measuring the property’s own disciplines on their own schedule regardless of how close or distant the next external audit happens to be.</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2.15.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2.15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