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before="0"/>
      </w:pPr>
      <w:r>
        <w:rPr>
          <w:b/>
          <w:i w:val="0"/>
          <w:color w:val="9A7B2E"/>
          <w:sz w:val="18"/>
        </w:rPr>
        <w:t>Working Material 2.2</w:t>
      </w:r>
    </w:p>
    <w:p>
      <w:pPr>
        <w:keepNext/>
        <w:spacing w:after="40" w:before="0"/>
      </w:pPr>
      <w:r>
        <w:rPr>
          <w:b/>
          <w:i w:val="0"/>
          <w:color w:val="1B2A4A"/>
          <w:sz w:val="40"/>
        </w:rPr>
        <w:t>Competence: Building an Environmentally Literate Team</w:t>
      </w:r>
    </w:p>
    <w:p>
      <w:pPr>
        <w:spacing w:after="160" w:before="0"/>
      </w:pPr>
      <w:r>
        <w:rPr>
          <w:b w:val="0"/>
          <w:i/>
          <w:color w:val="5A5A5A"/>
          <w:sz w:val="17"/>
        </w:rPr>
        <w:t>ISO 14001:2026 · Material date: 25 October 2026</w:t>
      </w:r>
    </w:p>
    <w:p>
      <w:pPr>
        <w:spacing w:after="160" w:before="0"/>
      </w:pPr>
      <w:r>
        <w:rPr>
          <w:b w:val="0"/>
          <w:i/>
          <w:color w:val="333333"/>
          <w:sz w:val="19"/>
        </w:rPr>
        <w:t>This sheet puts the working parts of subchapter 2.2 into editable form: the Verification Pact, the review questions, the common mistakes as a self-check and the Operative Synthesis as an action plan. The empty columns are for your property. The reasoning behind each row is in the book.</w:t>
      </w:r>
    </w:p>
    <w:tbl>
      <w:tblPr>
        <w:tblW w:type="dxa" w:w="9639"/>
        <w:jc w:val="center"/>
        <w:tblLook w:firstColumn="1" w:firstRow="1" w:lastColumn="0" w:lastRow="0" w:noHBand="0" w:noVBand="1" w:val="04A0"/>
        <w:tblLayout w:type="fixed"/>
        <w:tblCellMar>
          <w:top w:w="120" w:type="dxa"/>
          <w:left w:w="200" w:type="dxa"/>
          <w:bottom w:w="120" w:type="dxa"/>
          <w:right w:w="160" w:type="dxa"/>
        </w:tblCellMar>
        <w:tblLayout w:type="fixed"/>
      </w:tblPr>
      <w:tblGrid>
        <w:gridCol w:w="9639"/>
      </w:tblGrid>
      <w:tr>
        <w:tc>
          <w:tcPr>
            <w:tcW w:type="dxa" w:w="9638"/>
            <w:shd w:val="clear" w:color="auto" w:fill="F3EFE6"/>
            <w:tcBorders>
              <w:left w:val="single" w:sz="24" w:space="0" w:color="9A7B2E"/>
              <w:top w:val="single" w:sz="4" w:space="0" w:color="F3EFE6"/>
              <w:bottom w:val="single" w:sz="4" w:space="0" w:color="F3EFE6"/>
              <w:right w:val="single" w:sz="4" w:space="0" w:color="F3EFE6"/>
            </w:tcBorders>
          </w:tcPr>
          <w:p>
            <w:pPr>
              <w:spacing w:after="60"/>
            </w:pPr>
            <w:r>
              <w:rPr>
                <w:b/>
                <w:color w:val="9A7B2E"/>
                <w:sz w:val="17"/>
              </w:rPr>
              <w:t>GUIDING QUESTION</w:t>
            </w:r>
          </w:p>
          <w:p>
            <w:pPr>
              <w:spacing w:after="40"/>
            </w:pPr>
            <w:r>
              <w:rPr>
                <w:i w:val="0"/>
                <w:color w:val="1B2A4A"/>
                <w:sz w:val="21"/>
              </w:rPr>
              <w:t>An attendance sheet proves a person sat in a room while training happened. What proves they actually understood the one procedure that, done wrong, could send everyone in that room to hospital?</w:t>
            </w:r>
          </w:p>
        </w:tc>
      </w:tr>
    </w:tbl>
    <w:p>
      <w:pPr>
        <w:spacing w:after="40"/>
      </w:pPr>
    </w:p>
    <w:p>
      <w:pPr>
        <w:keepNext/>
        <w:spacing w:after="80" w:before="200"/>
      </w:pPr>
      <w:r>
        <w:rPr>
          <w:b/>
          <w:i w:val="0"/>
          <w:color w:val="9A7B2E"/>
          <w:sz w:val="26"/>
        </w:rPr>
        <w:t>Verification Pact: Market Claims Against the Standard</w:t>
      </w:r>
    </w:p>
    <w:p>
      <w:pPr>
        <w:keepNext/>
        <w:spacing w:after="80" w:before="0"/>
      </w:pPr>
      <w:r>
        <w:rPr>
          <w:b w:val="0"/>
          <w:i/>
          <w:color w:val="5A5A5A"/>
          <w:sz w:val="18"/>
        </w:rPr>
        <w:t>The first three columns are copied from the book. In the last one, note whether this claim circulates in your property — in a proposal, a brochure, a supplier’s pitch or your own documents — and what you now hold instead.</w:t>
      </w:r>
    </w:p>
    <w:tbl>
      <w:tblPr>
        <w:tblW w:type="dxa" w:w="9639"/>
        <w:jc w:val="center"/>
        <w:tblLook w:firstColumn="1" w:firstRow="1" w:lastColumn="0" w:lastRow="0" w:noHBand="0" w:noVBand="1" w:val="04A0"/>
        <w:tblBorders>
          <w:top w:val="single" w:sz="4" w:space="0" w:color="C9BBA6"/>
          <w:left w:val="single" w:sz="4" w:space="0" w:color="C9BBA6"/>
          <w:bottom w:val="single" w:sz="4" w:space="0" w:color="C9BBA6"/>
          <w:right w:val="single" w:sz="4" w:space="0" w:color="C9BBA6"/>
          <w:insideH w:val="single" w:sz="4" w:space="0" w:color="C9BBA6"/>
          <w:insideV w:val="single" w:sz="4" w:space="0" w:color="C9BBA6"/>
        </w:tblBorders>
        <w:tblLayout w:type="fixed"/>
        <w:tblCellMar>
          <w:top w:w="60" w:type="dxa"/>
          <w:left w:w="90" w:type="dxa"/>
          <w:bottom w:w="60" w:type="dxa"/>
          <w:right w:w="90" w:type="dxa"/>
        </w:tblCellMar>
        <w:tblLayout w:type="fixed"/>
      </w:tblPr>
      <w:tblGrid>
        <w:gridCol w:w="2551"/>
        <w:gridCol w:w="1190"/>
        <w:gridCol w:w="3515"/>
        <w:gridCol w:w="2381"/>
      </w:tblGrid>
      <w:tr>
        <w:trPr>
          <w:tblHeader w:val="true"/>
        </w:trPr>
        <w:tc>
          <w:tcPr>
            <w:tcW w:type="dxa" w:w="2551"/>
            <w:shd w:val="clear" w:color="auto" w:fill="1B2A4A"/>
          </w:tcPr>
          <w:p>
            <w:pPr>
              <w:spacing w:after="0"/>
            </w:pPr>
            <w:r/>
            <w:r>
              <w:rPr>
                <w:b/>
                <w:i w:val="0"/>
                <w:color w:val="FFFFFF"/>
                <w:sz w:val="17"/>
              </w:rPr>
              <w:t>What is claimed</w:t>
            </w:r>
          </w:p>
        </w:tc>
        <w:tc>
          <w:tcPr>
            <w:tcW w:type="dxa" w:w="1191"/>
            <w:shd w:val="clear" w:color="auto" w:fill="1B2A4A"/>
          </w:tcPr>
          <w:p>
            <w:pPr>
              <w:spacing w:after="0"/>
            </w:pPr>
            <w:r/>
            <w:r>
              <w:rPr>
                <w:b/>
                <w:i w:val="0"/>
                <w:color w:val="FFFFFF"/>
                <w:sz w:val="17"/>
              </w:rPr>
              <w:t>Binding?</w:t>
            </w:r>
          </w:p>
        </w:tc>
        <w:tc>
          <w:tcPr>
            <w:tcW w:type="dxa" w:w="3515"/>
            <w:shd w:val="clear" w:color="auto" w:fill="1B2A4A"/>
          </w:tcPr>
          <w:p>
            <w:pPr>
              <w:spacing w:after="0"/>
            </w:pPr>
            <w:r/>
            <w:r>
              <w:rPr>
                <w:b/>
                <w:i w:val="0"/>
                <w:color w:val="FFFFFF"/>
                <w:sz w:val="17"/>
              </w:rPr>
              <w:t>What actually holds</w:t>
            </w:r>
          </w:p>
        </w:tc>
        <w:tc>
          <w:tcPr>
            <w:tcW w:type="dxa" w:w="2381"/>
            <w:shd w:val="clear" w:color="auto" w:fill="1B2A4A"/>
          </w:tcPr>
          <w:p>
            <w:pPr>
              <w:spacing w:after="0"/>
            </w:pPr>
            <w:r/>
            <w:r>
              <w:rPr>
                <w:b/>
                <w:i w:val="0"/>
                <w:color w:val="FFFFFF"/>
                <w:sz w:val="17"/>
              </w:rPr>
              <w:t>In our property</w:t>
            </w:r>
          </w:p>
        </w:tc>
      </w:tr>
      <w:tr>
        <w:trPr>
          <w:cantSplit w:val="true"/>
        </w:trPr>
        <w:tc>
          <w:tcPr>
            <w:tcW w:type="dxa" w:w="2551"/>
            <w:shd w:val="clear" w:color="auto" w:fill="F3EFE6"/>
          </w:tcPr>
          <w:p>
            <w:pPr>
              <w:spacing w:after="0"/>
            </w:pPr>
            <w:r/>
            <w:r>
              <w:rPr>
                <w:b w:val="0"/>
                <w:i w:val="0"/>
                <w:sz w:val="17"/>
              </w:rPr>
              <w:t>A signed attendance sheet is sufficient evidence of competence under clause 7.2</w:t>
            </w:r>
          </w:p>
        </w:tc>
        <w:tc>
          <w:tcPr>
            <w:tcW w:type="dxa" w:w="1191"/>
            <w:shd w:val="clear" w:color="auto" w:fill="F3EFE6"/>
          </w:tcPr>
          <w:p>
            <w:pPr>
              <w:spacing w:after="0"/>
            </w:pPr>
            <w:r/>
            <w:r>
              <w:rPr>
                <w:b w:val="0"/>
                <w:i w:val="0"/>
                <w:sz w:val="17"/>
              </w:rPr>
              <w:t>No</w:t>
            </w:r>
          </w:p>
        </w:tc>
        <w:tc>
          <w:tcPr>
            <w:tcW w:type="dxa" w:w="3515"/>
            <w:shd w:val="clear" w:color="auto" w:fill="F3EFE6"/>
          </w:tcPr>
          <w:p>
            <w:pPr>
              <w:spacing w:after="0"/>
            </w:pPr>
            <w:r/>
            <w:r>
              <w:rPr>
                <w:b w:val="0"/>
                <w:i w:val="0"/>
                <w:sz w:val="17"/>
              </w:rPr>
              <w:t>The clause requires evidence of competence itself, not evidence that a training session occurred — attendance documents the action taken, not its effectiveness</w:t>
            </w:r>
          </w:p>
        </w:tc>
        <w:tc>
          <w:tcPr>
            <w:tcW w:type="dxa" w:w="2381"/>
            <w:shd w:val="clear" w:color="auto" w:fill="FFFFFF"/>
          </w:tcPr>
          <w:p>
            <w:pPr>
              <w:spacing w:after="0"/>
            </w:pPr>
            <w:r/>
            <w:r>
              <w:rPr>
                <w:b w:val="0"/>
                <w:i w:val="0"/>
                <w:sz w:val="17"/>
              </w:rPr>
            </w:r>
          </w:p>
        </w:tc>
      </w:tr>
      <w:tr>
        <w:trPr>
          <w:cantSplit w:val="true"/>
        </w:trPr>
        <w:tc>
          <w:tcPr>
            <w:tcW w:type="dxa" w:w="2551"/>
          </w:tcPr>
          <w:p>
            <w:pPr>
              <w:spacing w:after="0"/>
            </w:pPr>
            <w:r/>
            <w:r>
              <w:rPr>
                <w:b w:val="0"/>
                <w:i w:val="0"/>
                <w:sz w:val="17"/>
              </w:rPr>
              <w:t>Seasonal or agency staff, because they are not directly employed, fall outside the organisation’s competence obligations</w:t>
            </w:r>
          </w:p>
        </w:tc>
        <w:tc>
          <w:tcPr>
            <w:tcW w:type="dxa" w:w="1191"/>
          </w:tcPr>
          <w:p>
            <w:pPr>
              <w:spacing w:after="0"/>
            </w:pPr>
            <w:r/>
            <w:r>
              <w:rPr>
                <w:b w:val="0"/>
                <w:i w:val="0"/>
                <w:sz w:val="17"/>
              </w:rPr>
              <w:t>No</w:t>
            </w:r>
          </w:p>
        </w:tc>
        <w:tc>
          <w:tcPr>
            <w:tcW w:type="dxa" w:w="3515"/>
          </w:tcPr>
          <w:p>
            <w:pPr>
              <w:spacing w:after="0"/>
            </w:pPr>
            <w:r/>
            <w:r>
              <w:rPr>
                <w:b w:val="0"/>
                <w:i w:val="0"/>
                <w:sz w:val="17"/>
              </w:rPr>
              <w:t>Annex A explicitly includes contracted persons performing work related to significant environmental aspects, regardless of employment structure</w:t>
            </w:r>
          </w:p>
        </w:tc>
        <w:tc>
          <w:tcPr>
            <w:tcW w:type="dxa" w:w="2381"/>
            <w:shd w:val="clear" w:color="auto" w:fill="FFFFFF"/>
          </w:tcPr>
          <w:p>
            <w:pPr>
              <w:spacing w:after="0"/>
            </w:pPr>
            <w:r/>
            <w:r>
              <w:rPr>
                <w:b w:val="0"/>
                <w:i w:val="0"/>
                <w:sz w:val="17"/>
              </w:rPr>
            </w:r>
          </w:p>
        </w:tc>
      </w:tr>
      <w:tr>
        <w:trPr>
          <w:cantSplit w:val="true"/>
        </w:trPr>
        <w:tc>
          <w:tcPr>
            <w:tcW w:type="dxa" w:w="2551"/>
            <w:shd w:val="clear" w:color="auto" w:fill="F3EFE6"/>
          </w:tcPr>
          <w:p>
            <w:pPr>
              <w:spacing w:after="0"/>
            </w:pPr>
            <w:r/>
            <w:r>
              <w:rPr>
                <w:b w:val="0"/>
                <w:i w:val="0"/>
                <w:sz w:val="17"/>
              </w:rPr>
              <w:t>A lighter training standard for seasonal staff is acceptable because their assignments are temporary</w:t>
            </w:r>
          </w:p>
        </w:tc>
        <w:tc>
          <w:tcPr>
            <w:tcW w:type="dxa" w:w="1191"/>
            <w:shd w:val="clear" w:color="auto" w:fill="F3EFE6"/>
          </w:tcPr>
          <w:p>
            <w:pPr>
              <w:spacing w:after="0"/>
            </w:pPr>
            <w:r/>
            <w:r>
              <w:rPr>
                <w:b w:val="0"/>
                <w:i w:val="0"/>
                <w:sz w:val="17"/>
              </w:rPr>
              <w:t>No</w:t>
            </w:r>
          </w:p>
        </w:tc>
        <w:tc>
          <w:tcPr>
            <w:tcW w:type="dxa" w:w="3515"/>
            <w:shd w:val="clear" w:color="auto" w:fill="F3EFE6"/>
          </w:tcPr>
          <w:p>
            <w:pPr>
              <w:spacing w:after="0"/>
            </w:pPr>
            <w:r/>
            <w:r>
              <w:rPr>
                <w:b w:val="0"/>
                <w:i w:val="0"/>
                <w:sz w:val="17"/>
              </w:rPr>
              <w:t>The clause’s requirement is tied to whether the work affects environmental performance, not to the duration of the person’s employment</w:t>
            </w:r>
          </w:p>
        </w:tc>
        <w:tc>
          <w:tcPr>
            <w:tcW w:type="dxa" w:w="2381"/>
            <w:shd w:val="clear" w:color="auto" w:fill="FFFFFF"/>
          </w:tcPr>
          <w:p>
            <w:pPr>
              <w:spacing w:after="0"/>
            </w:pPr>
            <w:r/>
            <w:r>
              <w:rPr>
                <w:b w:val="0"/>
                <w:i w:val="0"/>
                <w:sz w:val="17"/>
              </w:rPr>
            </w:r>
          </w:p>
        </w:tc>
      </w:tr>
      <w:tr>
        <w:trPr>
          <w:cantSplit w:val="true"/>
        </w:trPr>
        <w:tc>
          <w:tcPr>
            <w:tcW w:type="dxa" w:w="2551"/>
          </w:tcPr>
          <w:p>
            <w:pPr>
              <w:spacing w:after="0"/>
            </w:pPr>
            <w:r/>
            <w:r>
              <w:rPr>
                <w:b w:val="0"/>
                <w:i w:val="0"/>
                <w:sz w:val="17"/>
              </w:rPr>
              <w:t>Evaluating training effectiveness requires a formal, resource-intensive assessment process for every role</w:t>
            </w:r>
          </w:p>
        </w:tc>
        <w:tc>
          <w:tcPr>
            <w:tcW w:type="dxa" w:w="1191"/>
          </w:tcPr>
          <w:p>
            <w:pPr>
              <w:spacing w:after="0"/>
            </w:pPr>
            <w:r/>
            <w:r>
              <w:rPr>
                <w:b w:val="0"/>
                <w:i w:val="0"/>
                <w:sz w:val="17"/>
              </w:rPr>
              <w:t>Not necessarily</w:t>
            </w:r>
          </w:p>
        </w:tc>
        <w:tc>
          <w:tcPr>
            <w:tcW w:type="dxa" w:w="3515"/>
          </w:tcPr>
          <w:p>
            <w:pPr>
              <w:spacing w:after="0"/>
            </w:pPr>
            <w:r/>
            <w:r>
              <w:rPr>
                <w:b w:val="0"/>
                <w:i w:val="0"/>
                <w:sz w:val="17"/>
              </w:rPr>
              <w:t>Effectiveness evaluation should be proportionate to the risk the role carries — a practical demonstration for a chemical-handling task is proportionate; the same rigor for a low-risk role may not be necessary</w:t>
            </w:r>
          </w:p>
        </w:tc>
        <w:tc>
          <w:tcPr>
            <w:tcW w:type="dxa" w:w="2381"/>
            <w:shd w:val="clear" w:color="auto" w:fill="FFFFFF"/>
          </w:tcPr>
          <w:p>
            <w:pPr>
              <w:spacing w:after="0"/>
            </w:pPr>
            <w:r/>
            <w:r>
              <w:rPr>
                <w:b w:val="0"/>
                <w:i w:val="0"/>
                <w:sz w:val="17"/>
              </w:rPr>
            </w:r>
          </w:p>
        </w:tc>
      </w:tr>
      <w:tr>
        <w:trPr>
          <w:cantSplit w:val="true"/>
        </w:trPr>
        <w:tc>
          <w:tcPr>
            <w:tcW w:type="dxa" w:w="2551"/>
            <w:shd w:val="clear" w:color="auto" w:fill="F3EFE6"/>
          </w:tcPr>
          <w:p>
            <w:pPr>
              <w:spacing w:after="0"/>
            </w:pPr>
            <w:r/>
            <w:r>
              <w:rPr>
                <w:b w:val="0"/>
                <w:i w:val="0"/>
                <w:sz w:val="17"/>
              </w:rPr>
              <w:t>Once a training programme exists and has been delivered consistently, it is presumed effective unless an incident proves otherwise</w:t>
            </w:r>
          </w:p>
        </w:tc>
        <w:tc>
          <w:tcPr>
            <w:tcW w:type="dxa" w:w="1191"/>
            <w:shd w:val="clear" w:color="auto" w:fill="F3EFE6"/>
          </w:tcPr>
          <w:p>
            <w:pPr>
              <w:spacing w:after="0"/>
            </w:pPr>
            <w:r/>
            <w:r>
              <w:rPr>
                <w:b w:val="0"/>
                <w:i w:val="0"/>
                <w:sz w:val="17"/>
              </w:rPr>
              <w:t>No</w:t>
            </w:r>
          </w:p>
        </w:tc>
        <w:tc>
          <w:tcPr>
            <w:tcW w:type="dxa" w:w="3515"/>
            <w:shd w:val="clear" w:color="auto" w:fill="F3EFE6"/>
          </w:tcPr>
          <w:p>
            <w:pPr>
              <w:spacing w:after="0"/>
            </w:pPr>
            <w:r/>
            <w:r>
              <w:rPr>
                <w:b w:val="0"/>
                <w:i w:val="0"/>
                <w:sz w:val="17"/>
              </w:rPr>
              <w:t>The clause requires evaluation as an active step, not a passive presumption tested only after something has already gone wrong</w:t>
            </w:r>
          </w:p>
        </w:tc>
        <w:tc>
          <w:tcPr>
            <w:tcW w:type="dxa" w:w="2381"/>
            <w:shd w:val="clear" w:color="auto" w:fill="FFFFFF"/>
          </w:tcPr>
          <w:p>
            <w:pPr>
              <w:spacing w:after="0"/>
            </w:pPr>
            <w:r/>
            <w:r>
              <w:rPr>
                <w:b w:val="0"/>
                <w:i w:val="0"/>
                <w:sz w:val="17"/>
              </w:rPr>
            </w:r>
          </w:p>
        </w:tc>
      </w:tr>
      <w:tr>
        <w:trPr>
          <w:cantSplit w:val="true"/>
        </w:trPr>
        <w:tc>
          <w:tcPr>
            <w:tcW w:type="dxa" w:w="2551"/>
          </w:tcPr>
          <w:p>
            <w:pPr>
              <w:spacing w:after="0"/>
            </w:pPr>
            <w:r/>
            <w:r>
              <w:rPr>
                <w:b w:val="0"/>
                <w:i w:val="0"/>
                <w:sz w:val="17"/>
              </w:rPr>
              <w:t>Verbal handover between departing and arriving staff satisfies the organisation’s competence obligation for a technical task</w:t>
            </w:r>
          </w:p>
        </w:tc>
        <w:tc>
          <w:tcPr>
            <w:tcW w:type="dxa" w:w="1191"/>
          </w:tcPr>
          <w:p>
            <w:pPr>
              <w:spacing w:after="0"/>
            </w:pPr>
            <w:r/>
            <w:r>
              <w:rPr>
                <w:b w:val="0"/>
                <w:i w:val="0"/>
                <w:sz w:val="17"/>
              </w:rPr>
              <w:t>No</w:t>
            </w:r>
          </w:p>
        </w:tc>
        <w:tc>
          <w:tcPr>
            <w:tcW w:type="dxa" w:w="3515"/>
          </w:tcPr>
          <w:p>
            <w:pPr>
              <w:spacing w:after="0"/>
            </w:pPr>
            <w:r/>
            <w:r>
              <w:rPr>
                <w:b w:val="0"/>
                <w:i w:val="0"/>
                <w:sz w:val="17"/>
              </w:rPr>
              <w:t>An undocumented, unverified verbal handover gives the organisation no basis for ensuring competence or evaluating the effectiveness of the action taken, which is what the clause asks for</w:t>
            </w:r>
          </w:p>
        </w:tc>
        <w:tc>
          <w:tcPr>
            <w:tcW w:type="dxa" w:w="2381"/>
            <w:shd w:val="clear" w:color="auto" w:fill="FFFFFF"/>
          </w:tcPr>
          <w:p>
            <w:pPr>
              <w:spacing w:after="0"/>
            </w:pPr>
            <w:r/>
            <w:r>
              <w:rPr>
                <w:b w:val="0"/>
                <w:i w:val="0"/>
                <w:sz w:val="17"/>
              </w:rPr>
            </w:r>
          </w:p>
        </w:tc>
      </w:tr>
    </w:tbl>
    <w:p>
      <w:pPr>
        <w:keepNext/>
        <w:spacing w:after="80" w:before="200"/>
      </w:pPr>
      <w:r>
        <w:rPr>
          <w:b/>
          <w:i w:val="0"/>
          <w:color w:val="9A7B2E"/>
          <w:sz w:val="26"/>
        </w:rPr>
        <w:t>A Checklist for the Next Seasonal Onboarding Cycle</w:t>
      </w:r>
    </w:p>
    <w:p>
      <w:pPr>
        <w:keepNext/>
        <w:spacing w:after="80" w:before="0"/>
      </w:pPr>
      <w:r>
        <w:rPr>
          <w:b w:val="0"/>
          <w:i/>
          <w:color w:val="5A5A5A"/>
          <w:sz w:val="18"/>
        </w:rPr>
        <w:t>Answer each question with Yes, Partly, No or N.A., and name the evidence: a record, a date, a person, a place someone can go and look. An answer without evidence is an opinion.</w:t>
      </w:r>
    </w:p>
    <w:tbl>
      <w:tblPr>
        <w:tblW w:type="dxa" w:w="9639"/>
        <w:jc w:val="center"/>
        <w:tblLook w:firstColumn="1" w:firstRow="1" w:lastColumn="0" w:lastRow="0" w:noHBand="0" w:noVBand="1" w:val="04A0"/>
        <w:tblBorders>
          <w:top w:val="single" w:sz="4" w:space="0" w:color="C9BBA6"/>
          <w:left w:val="single" w:sz="4" w:space="0" w:color="C9BBA6"/>
          <w:bottom w:val="single" w:sz="4" w:space="0" w:color="C9BBA6"/>
          <w:right w:val="single" w:sz="4" w:space="0" w:color="C9BBA6"/>
          <w:insideH w:val="single" w:sz="4" w:space="0" w:color="C9BBA6"/>
          <w:insideV w:val="single" w:sz="4" w:space="0" w:color="C9BBA6"/>
        </w:tblBorders>
        <w:tblLayout w:type="fixed"/>
        <w:tblCellMar>
          <w:top w:w="60" w:type="dxa"/>
          <w:left w:w="90" w:type="dxa"/>
          <w:bottom w:w="60" w:type="dxa"/>
          <w:right w:w="90" w:type="dxa"/>
        </w:tblCellMar>
        <w:tblLayout w:type="fixed"/>
      </w:tblPr>
      <w:tblGrid>
        <w:gridCol w:w="3061"/>
        <w:gridCol w:w="2948"/>
        <w:gridCol w:w="1020"/>
        <w:gridCol w:w="2608"/>
      </w:tblGrid>
      <w:tr>
        <w:trPr>
          <w:tblHeader w:val="true"/>
        </w:trPr>
        <w:tc>
          <w:tcPr>
            <w:tcW w:type="dxa" w:w="3061"/>
            <w:shd w:val="clear" w:color="auto" w:fill="1B2A4A"/>
          </w:tcPr>
          <w:p>
            <w:pPr>
              <w:spacing w:after="0"/>
            </w:pPr>
            <w:r/>
            <w:r>
              <w:rPr>
                <w:b/>
                <w:i w:val="0"/>
                <w:color w:val="FFFFFF"/>
                <w:sz w:val="17"/>
              </w:rPr>
              <w:t>Question</w:t>
            </w:r>
          </w:p>
        </w:tc>
        <w:tc>
          <w:tcPr>
            <w:tcW w:type="dxa" w:w="2948"/>
            <w:shd w:val="clear" w:color="auto" w:fill="1B2A4A"/>
          </w:tcPr>
          <w:p>
            <w:pPr>
              <w:spacing w:after="0"/>
            </w:pPr>
            <w:r/>
            <w:r>
              <w:rPr>
                <w:b/>
                <w:i w:val="0"/>
                <w:color w:val="FFFFFF"/>
                <w:sz w:val="17"/>
              </w:rPr>
              <w:t>Why it matters</w:t>
            </w:r>
          </w:p>
        </w:tc>
        <w:tc>
          <w:tcPr>
            <w:tcW w:type="dxa" w:w="1020"/>
            <w:shd w:val="clear" w:color="auto" w:fill="1B2A4A"/>
          </w:tcPr>
          <w:p>
            <w:pPr>
              <w:spacing w:after="0"/>
            </w:pPr>
            <w:r/>
            <w:r>
              <w:rPr>
                <w:b/>
                <w:i w:val="0"/>
                <w:color w:val="FFFFFF"/>
                <w:sz w:val="17"/>
              </w:rPr>
              <w:t>Answer</w:t>
            </w:r>
          </w:p>
        </w:tc>
        <w:tc>
          <w:tcPr>
            <w:tcW w:type="dxa" w:w="2608"/>
            <w:shd w:val="clear" w:color="auto" w:fill="1B2A4A"/>
          </w:tcPr>
          <w:p>
            <w:pPr>
              <w:spacing w:after="0"/>
            </w:pPr>
            <w:r/>
            <w:r>
              <w:rPr>
                <w:b/>
                <w:i w:val="0"/>
                <w:color w:val="FFFFFF"/>
                <w:sz w:val="17"/>
              </w:rPr>
              <w:t>Evidence</w:t>
            </w:r>
          </w:p>
        </w:tc>
      </w:tr>
      <w:tr>
        <w:trPr>
          <w:cantSplit w:val="true"/>
          <w:trHeight w:val="680" w:hRule="atLeast"/>
        </w:trPr>
        <w:tc>
          <w:tcPr>
            <w:tcW w:type="dxa" w:w="3061"/>
            <w:shd w:val="clear" w:color="auto" w:fill="F3EFE6"/>
          </w:tcPr>
          <w:p>
            <w:pPr>
              <w:spacing w:after="0"/>
            </w:pPr>
            <w:r/>
            <w:r>
              <w:rPr>
                <w:b w:val="0"/>
                <w:i w:val="0"/>
                <w:sz w:val="17"/>
              </w:rPr>
              <w:t>Which tasks performed by seasonal or agency staff carry genuine environmental or safety consequence if done incorrectly?</w:t>
            </w:r>
          </w:p>
        </w:tc>
        <w:tc>
          <w:tcPr>
            <w:tcW w:type="dxa" w:w="2948"/>
            <w:shd w:val="clear" w:color="auto" w:fill="F3EFE6"/>
          </w:tcPr>
          <w:p>
            <w:pPr>
              <w:spacing w:after="0"/>
            </w:pPr>
            <w:r/>
            <w:r>
              <w:rPr>
                <w:b w:val="0"/>
                <w:i w:val="0"/>
                <w:sz w:val="17"/>
              </w:rPr>
              <w:t>The list this entire subchapter turns on — Mykonos never compiled it before the incident forced the question</w:t>
            </w:r>
          </w:p>
        </w:tc>
        <w:tc>
          <w:tcPr>
            <w:tcW w:type="dxa" w:w="1020"/>
            <w:shd w:val="clear" w:color="auto" w:fill="FFFFFF"/>
          </w:tcPr>
          <w:p>
            <w:pPr>
              <w:spacing w:after="0"/>
            </w:pPr>
            <w:r/>
            <w:r>
              <w:rPr>
                <w:b w:val="0"/>
                <w:i w:val="0"/>
                <w:sz w:val="17"/>
              </w:rPr>
            </w:r>
          </w:p>
        </w:tc>
        <w:tc>
          <w:tcPr>
            <w:tcW w:type="dxa" w:w="2608"/>
            <w:shd w:val="clear" w:color="auto" w:fill="FFFFFF"/>
          </w:tcPr>
          <w:p>
            <w:pPr>
              <w:spacing w:after="0"/>
            </w:pPr>
            <w:r/>
            <w:r>
              <w:rPr>
                <w:b w:val="0"/>
                <w:i w:val="0"/>
                <w:sz w:val="17"/>
              </w:rPr>
            </w:r>
          </w:p>
        </w:tc>
      </w:tr>
      <w:tr>
        <w:trPr>
          <w:cantSplit w:val="true"/>
          <w:trHeight w:val="680" w:hRule="atLeast"/>
        </w:trPr>
        <w:tc>
          <w:tcPr>
            <w:tcW w:type="dxa" w:w="3061"/>
          </w:tcPr>
          <w:p>
            <w:pPr>
              <w:spacing w:after="0"/>
            </w:pPr>
            <w:r/>
            <w:r>
              <w:rPr>
                <w:b w:val="0"/>
                <w:i w:val="0"/>
                <w:sz w:val="17"/>
              </w:rPr>
              <w:t>For each high-consequence task, does current verification amount to more than a signed attendance sheet?</w:t>
            </w:r>
          </w:p>
        </w:tc>
        <w:tc>
          <w:tcPr>
            <w:tcW w:type="dxa" w:w="2948"/>
          </w:tcPr>
          <w:p>
            <w:pPr>
              <w:spacing w:after="0"/>
            </w:pPr>
            <w:r/>
            <w:r>
              <w:rPr>
                <w:b w:val="0"/>
                <w:i w:val="0"/>
                <w:sz w:val="17"/>
              </w:rPr>
              <w:t>The single test that would have caught the gap before a seasonal worker was ever deployed unsupervised</w:t>
            </w:r>
          </w:p>
        </w:tc>
        <w:tc>
          <w:tcPr>
            <w:tcW w:type="dxa" w:w="1020"/>
            <w:shd w:val="clear" w:color="auto" w:fill="FFFFFF"/>
          </w:tcPr>
          <w:p>
            <w:pPr>
              <w:spacing w:after="0"/>
            </w:pPr>
            <w:r/>
            <w:r>
              <w:rPr>
                <w:b w:val="0"/>
                <w:i w:val="0"/>
                <w:sz w:val="17"/>
              </w:rPr>
            </w:r>
          </w:p>
        </w:tc>
        <w:tc>
          <w:tcPr>
            <w:tcW w:type="dxa" w:w="2608"/>
            <w:shd w:val="clear" w:color="auto" w:fill="FFFFFF"/>
          </w:tcPr>
          <w:p>
            <w:pPr>
              <w:spacing w:after="0"/>
            </w:pPr>
            <w:r/>
            <w:r>
              <w:rPr>
                <w:b w:val="0"/>
                <w:i w:val="0"/>
                <w:sz w:val="17"/>
              </w:rPr>
            </w:r>
          </w:p>
        </w:tc>
      </w:tr>
      <w:tr>
        <w:trPr>
          <w:cantSplit w:val="true"/>
          <w:trHeight w:val="680" w:hRule="atLeast"/>
        </w:trPr>
        <w:tc>
          <w:tcPr>
            <w:tcW w:type="dxa" w:w="3061"/>
            <w:shd w:val="clear" w:color="auto" w:fill="F3EFE6"/>
          </w:tcPr>
          <w:p>
            <w:pPr>
              <w:spacing w:after="0"/>
            </w:pPr>
            <w:r/>
            <w:r>
              <w:rPr>
                <w:b w:val="0"/>
                <w:i w:val="0"/>
                <w:sz w:val="17"/>
              </w:rPr>
              <w:t>Does our staffing agency’s contract measure competence verification, or only placement throughput?</w:t>
            </w:r>
          </w:p>
        </w:tc>
        <w:tc>
          <w:tcPr>
            <w:tcW w:type="dxa" w:w="2948"/>
            <w:shd w:val="clear" w:color="auto" w:fill="F3EFE6"/>
          </w:tcPr>
          <w:p>
            <w:pPr>
              <w:spacing w:after="0"/>
            </w:pPr>
            <w:r/>
            <w:r>
              <w:rPr>
                <w:b w:val="0"/>
                <w:i w:val="0"/>
                <w:sz w:val="17"/>
              </w:rPr>
              <w:t>An agency optimising for speed alone will structurally under-deliver on verification unless the contract requires otherwise</w:t>
            </w:r>
          </w:p>
        </w:tc>
        <w:tc>
          <w:tcPr>
            <w:tcW w:type="dxa" w:w="1020"/>
            <w:shd w:val="clear" w:color="auto" w:fill="FFFFFF"/>
          </w:tcPr>
          <w:p>
            <w:pPr>
              <w:spacing w:after="0"/>
            </w:pPr>
            <w:r/>
            <w:r>
              <w:rPr>
                <w:b w:val="0"/>
                <w:i w:val="0"/>
                <w:sz w:val="17"/>
              </w:rPr>
            </w:r>
          </w:p>
        </w:tc>
        <w:tc>
          <w:tcPr>
            <w:tcW w:type="dxa" w:w="2608"/>
            <w:shd w:val="clear" w:color="auto" w:fill="FFFFFF"/>
          </w:tcPr>
          <w:p>
            <w:pPr>
              <w:spacing w:after="0"/>
            </w:pPr>
            <w:r/>
            <w:r>
              <w:rPr>
                <w:b w:val="0"/>
                <w:i w:val="0"/>
                <w:sz w:val="17"/>
              </w:rPr>
            </w:r>
          </w:p>
        </w:tc>
      </w:tr>
      <w:tr>
        <w:trPr>
          <w:cantSplit w:val="true"/>
          <w:trHeight w:val="680" w:hRule="atLeast"/>
        </w:trPr>
        <w:tc>
          <w:tcPr>
            <w:tcW w:type="dxa" w:w="3061"/>
          </w:tcPr>
          <w:p>
            <w:pPr>
              <w:spacing w:after="0"/>
            </w:pPr>
            <w:r/>
            <w:r>
              <w:rPr>
                <w:b w:val="0"/>
                <w:i w:val="0"/>
                <w:sz w:val="17"/>
              </w:rPr>
              <w:t>Do returning seasonal staff receive credit for genuinely verified prior experience, or does every season restart from zero?</w:t>
            </w:r>
          </w:p>
        </w:tc>
        <w:tc>
          <w:tcPr>
            <w:tcW w:type="dxa" w:w="2948"/>
          </w:tcPr>
          <w:p>
            <w:pPr>
              <w:spacing w:after="0"/>
            </w:pPr>
            <w:r/>
            <w:r>
              <w:rPr>
                <w:b w:val="0"/>
                <w:i w:val="0"/>
                <w:sz w:val="17"/>
              </w:rPr>
              <w:t>Distinguishing the two, per clause 7.2’s own three routes, avoids both under-verification and wasted redundant effort</w:t>
            </w:r>
          </w:p>
        </w:tc>
        <w:tc>
          <w:tcPr>
            <w:tcW w:type="dxa" w:w="1020"/>
            <w:shd w:val="clear" w:color="auto" w:fill="FFFFFF"/>
          </w:tcPr>
          <w:p>
            <w:pPr>
              <w:spacing w:after="0"/>
            </w:pPr>
            <w:r/>
            <w:r>
              <w:rPr>
                <w:b w:val="0"/>
                <w:i w:val="0"/>
                <w:sz w:val="17"/>
              </w:rPr>
            </w:r>
          </w:p>
        </w:tc>
        <w:tc>
          <w:tcPr>
            <w:tcW w:type="dxa" w:w="2608"/>
            <w:shd w:val="clear" w:color="auto" w:fill="FFFFFF"/>
          </w:tcPr>
          <w:p>
            <w:pPr>
              <w:spacing w:after="0"/>
            </w:pPr>
            <w:r/>
            <w:r>
              <w:rPr>
                <w:b w:val="0"/>
                <w:i w:val="0"/>
                <w:sz w:val="17"/>
              </w:rPr>
            </w:r>
          </w:p>
        </w:tc>
      </w:tr>
      <w:tr>
        <w:trPr>
          <w:cantSplit w:val="true"/>
          <w:trHeight w:val="680" w:hRule="atLeast"/>
        </w:trPr>
        <w:tc>
          <w:tcPr>
            <w:tcW w:type="dxa" w:w="3061"/>
            <w:shd w:val="clear" w:color="auto" w:fill="F3EFE6"/>
          </w:tcPr>
          <w:p>
            <w:pPr>
              <w:spacing w:after="0"/>
            </w:pPr>
            <w:r/>
            <w:r>
              <w:rPr>
                <w:b w:val="0"/>
                <w:i w:val="0"/>
                <w:sz w:val="17"/>
              </w:rPr>
              <w:t>Is our training documentation capable of showing what was specifically demonstrated and verified, or only that a session occurred?</w:t>
            </w:r>
          </w:p>
        </w:tc>
        <w:tc>
          <w:tcPr>
            <w:tcW w:type="dxa" w:w="2948"/>
            <w:shd w:val="clear" w:color="auto" w:fill="F3EFE6"/>
          </w:tcPr>
          <w:p>
            <w:pPr>
              <w:spacing w:after="0"/>
            </w:pPr>
            <w:r/>
            <w:r>
              <w:rPr>
                <w:b w:val="0"/>
                <w:i w:val="0"/>
                <w:sz w:val="17"/>
              </w:rPr>
              <w:t>This is the evidence an auditor, or an incident investigation, will actually need</w:t>
            </w:r>
          </w:p>
        </w:tc>
        <w:tc>
          <w:tcPr>
            <w:tcW w:type="dxa" w:w="1020"/>
            <w:shd w:val="clear" w:color="auto" w:fill="FFFFFF"/>
          </w:tcPr>
          <w:p>
            <w:pPr>
              <w:spacing w:after="0"/>
            </w:pPr>
            <w:r/>
            <w:r>
              <w:rPr>
                <w:b w:val="0"/>
                <w:i w:val="0"/>
                <w:sz w:val="17"/>
              </w:rPr>
            </w:r>
          </w:p>
        </w:tc>
        <w:tc>
          <w:tcPr>
            <w:tcW w:type="dxa" w:w="2608"/>
            <w:shd w:val="clear" w:color="auto" w:fill="FFFFFF"/>
          </w:tcPr>
          <w:p>
            <w:pPr>
              <w:spacing w:after="0"/>
            </w:pPr>
            <w:r/>
            <w:r>
              <w:rPr>
                <w:b w:val="0"/>
                <w:i w:val="0"/>
                <w:sz w:val="17"/>
              </w:rPr>
            </w:r>
          </w:p>
        </w:tc>
      </w:tr>
    </w:tbl>
    <w:p>
      <w:pPr>
        <w:keepNext/>
        <w:spacing w:after="80" w:before="200"/>
      </w:pPr>
      <w:r>
        <w:rPr>
          <w:b/>
          <w:i w:val="0"/>
          <w:color w:val="9A7B2E"/>
          <w:sz w:val="26"/>
        </w:rPr>
        <w:t>Common Mistakes — Self-Check</w:t>
      </w:r>
    </w:p>
    <w:p>
      <w:pPr>
        <w:keepNext/>
        <w:spacing w:after="80" w:before="0"/>
      </w:pPr>
      <w:r>
        <w:rPr>
          <w:b w:val="0"/>
          <w:i/>
          <w:color w:val="5A5A5A"/>
          <w:sz w:val="18"/>
        </w:rPr>
        <w:t>Tick every mistake you recognise in your own property today, and write next to it where you saw it. A ticked box is not a nonconformity; it is a place to look before an auditor or an incident does.</w:t>
      </w:r>
    </w:p>
    <w:tbl>
      <w:tblPr>
        <w:tblW w:type="dxa" w:w="9639"/>
        <w:jc w:val="center"/>
        <w:tblLook w:firstColumn="1" w:firstRow="1" w:lastColumn="0" w:lastRow="0" w:noHBand="0" w:noVBand="1" w:val="04A0"/>
        <w:tblBorders>
          <w:top w:val="single" w:sz="4" w:space="0" w:color="C9BBA6"/>
          <w:left w:val="single" w:sz="4" w:space="0" w:color="C9BBA6"/>
          <w:bottom w:val="single" w:sz="4" w:space="0" w:color="C9BBA6"/>
          <w:right w:val="single" w:sz="4" w:space="0" w:color="C9BBA6"/>
          <w:insideH w:val="single" w:sz="4" w:space="0" w:color="C9BBA6"/>
          <w:insideV w:val="single" w:sz="4" w:space="0" w:color="C9BBA6"/>
        </w:tblBorders>
        <w:tblLayout w:type="fixed"/>
        <w:tblCellMar>
          <w:top w:w="60" w:type="dxa"/>
          <w:left w:w="90" w:type="dxa"/>
          <w:bottom w:w="60" w:type="dxa"/>
          <w:right w:w="90" w:type="dxa"/>
        </w:tblCellMar>
        <w:tblLayout w:type="fixed"/>
      </w:tblPr>
      <w:tblGrid>
        <w:gridCol w:w="510"/>
        <w:gridCol w:w="5726"/>
        <w:gridCol w:w="3402"/>
      </w:tblGrid>
      <w:tr>
        <w:trPr>
          <w:tblHeader w:val="true"/>
        </w:trPr>
        <w:tc>
          <w:tcPr>
            <w:tcW w:type="dxa" w:w="510"/>
            <w:shd w:val="clear" w:color="auto" w:fill="1B2A4A"/>
          </w:tcPr>
          <w:p>
            <w:pPr>
              <w:spacing w:after="0"/>
            </w:pPr>
            <w:r/>
            <w:r>
              <w:rPr>
                <w:b/>
                <w:i w:val="0"/>
                <w:color w:val="FFFFFF"/>
                <w:sz w:val="17"/>
              </w:rPr>
              <w:t>☐</w:t>
            </w:r>
          </w:p>
        </w:tc>
        <w:tc>
          <w:tcPr>
            <w:tcW w:type="dxa" w:w="5726"/>
            <w:shd w:val="clear" w:color="auto" w:fill="1B2A4A"/>
          </w:tcPr>
          <w:p>
            <w:pPr>
              <w:spacing w:after="0"/>
            </w:pPr>
            <w:r/>
            <w:r>
              <w:rPr>
                <w:b/>
                <w:i w:val="0"/>
                <w:color w:val="FFFFFF"/>
                <w:sz w:val="17"/>
              </w:rPr>
              <w:t>Mistake (from the book)</w:t>
            </w:r>
          </w:p>
        </w:tc>
        <w:tc>
          <w:tcPr>
            <w:tcW w:type="dxa" w:w="3402"/>
            <w:shd w:val="clear" w:color="auto" w:fill="1B2A4A"/>
          </w:tcPr>
          <w:p>
            <w:pPr>
              <w:spacing w:after="0"/>
            </w:pPr>
            <w:r/>
            <w:r>
              <w:rPr>
                <w:b/>
                <w:i w:val="0"/>
                <w:color w:val="FFFFFF"/>
                <w:sz w:val="17"/>
              </w:rPr>
              <w:t>Where we see it</w:t>
            </w:r>
          </w:p>
        </w:tc>
      </w:tr>
      <w:tr>
        <w:trPr>
          <w:cantSplit w:val="true"/>
        </w:trPr>
        <w:tc>
          <w:tcPr>
            <w:tcW w:type="dxa" w:w="510"/>
            <w:shd w:val="clear" w:color="auto" w:fill="F3EFE6"/>
          </w:tcPr>
          <w:p>
            <w:pPr>
              <w:spacing w:after="0"/>
              <w:jc w:val="center"/>
            </w:pPr>
            <w:r>
              <w:rPr>
                <w:sz w:val="24"/>
              </w:rPr>
            </w:r>
            <w:r>
              <w:rPr>
                <w:b w:val="0"/>
                <w:i w:val="0"/>
                <w:sz w:val="17"/>
              </w:rPr>
              <w:t>☐</w:t>
            </w:r>
          </w:p>
        </w:tc>
        <w:tc>
          <w:tcPr>
            <w:tcW w:type="dxa" w:w="5726"/>
            <w:shd w:val="clear" w:color="auto" w:fill="F3EFE6"/>
          </w:tcPr>
          <w:p>
            <w:pPr>
              <w:spacing w:after="0"/>
            </w:pPr>
            <w:r/>
            <w:r>
              <w:rPr>
                <w:b w:val="0"/>
                <w:i w:val="0"/>
                <w:sz w:val="17"/>
              </w:rPr>
              <w:t>Treating attendance at a training session as equivalent to verified competence.</w:t>
            </w:r>
          </w:p>
        </w:tc>
        <w:tc>
          <w:tcPr>
            <w:tcW w:type="dxa" w:w="3402"/>
            <w:shd w:val="clear" w:color="auto" w:fill="FFFFFF"/>
          </w:tcPr>
          <w:p>
            <w:pPr>
              <w:spacing w:after="0"/>
            </w:pPr>
            <w:r/>
            <w:r>
              <w:rPr>
                <w:b w:val="0"/>
                <w:i w:val="0"/>
                <w:sz w:val="17"/>
              </w:rPr>
            </w:r>
          </w:p>
        </w:tc>
      </w:tr>
      <w:tr>
        <w:trPr>
          <w:cantSplit w:val="true"/>
        </w:trPr>
        <w:tc>
          <w:tcPr>
            <w:tcW w:type="dxa" w:w="510"/>
          </w:tcPr>
          <w:p>
            <w:pPr>
              <w:spacing w:after="0"/>
              <w:jc w:val="center"/>
            </w:pPr>
            <w:r>
              <w:rPr>
                <w:sz w:val="24"/>
              </w:rPr>
            </w:r>
            <w:r>
              <w:rPr>
                <w:b w:val="0"/>
                <w:i w:val="0"/>
                <w:sz w:val="17"/>
              </w:rPr>
              <w:t>☐</w:t>
            </w:r>
          </w:p>
        </w:tc>
        <w:tc>
          <w:tcPr>
            <w:tcW w:type="dxa" w:w="5726"/>
          </w:tcPr>
          <w:p>
            <w:pPr>
              <w:spacing w:after="0"/>
            </w:pPr>
            <w:r/>
            <w:r>
              <w:rPr>
                <w:b w:val="0"/>
                <w:i w:val="0"/>
                <w:sz w:val="17"/>
              </w:rPr>
              <w:t>Applying a lighter competence standard to seasonal or agency staff based on employment status rather than actual task consequence.</w:t>
            </w:r>
          </w:p>
        </w:tc>
        <w:tc>
          <w:tcPr>
            <w:tcW w:type="dxa" w:w="3402"/>
            <w:shd w:val="clear" w:color="auto" w:fill="FFFFFF"/>
          </w:tcPr>
          <w:p>
            <w:pPr>
              <w:spacing w:after="0"/>
            </w:pPr>
            <w:r/>
            <w:r>
              <w:rPr>
                <w:b w:val="0"/>
                <w:i w:val="0"/>
                <w:sz w:val="17"/>
              </w:rPr>
            </w:r>
          </w:p>
        </w:tc>
      </w:tr>
      <w:tr>
        <w:trPr>
          <w:cantSplit w:val="true"/>
        </w:trPr>
        <w:tc>
          <w:tcPr>
            <w:tcW w:type="dxa" w:w="510"/>
            <w:shd w:val="clear" w:color="auto" w:fill="F3EFE6"/>
          </w:tcPr>
          <w:p>
            <w:pPr>
              <w:spacing w:after="0"/>
              <w:jc w:val="center"/>
            </w:pPr>
            <w:r>
              <w:rPr>
                <w:sz w:val="24"/>
              </w:rPr>
            </w:r>
            <w:r>
              <w:rPr>
                <w:b w:val="0"/>
                <w:i w:val="0"/>
                <w:sz w:val="17"/>
              </w:rPr>
              <w:t>☐</w:t>
            </w:r>
          </w:p>
        </w:tc>
        <w:tc>
          <w:tcPr>
            <w:tcW w:type="dxa" w:w="5726"/>
            <w:shd w:val="clear" w:color="auto" w:fill="F3EFE6"/>
          </w:tcPr>
          <w:p>
            <w:pPr>
              <w:spacing w:after="0"/>
            </w:pPr>
            <w:r/>
            <w:r>
              <w:rPr>
                <w:b w:val="0"/>
                <w:i w:val="0"/>
                <w:sz w:val="17"/>
              </w:rPr>
              <w:t>Failing to distinguish high-consequence tasks from general orientation content within a single training programme.</w:t>
            </w:r>
          </w:p>
        </w:tc>
        <w:tc>
          <w:tcPr>
            <w:tcW w:type="dxa" w:w="3402"/>
            <w:shd w:val="clear" w:color="auto" w:fill="FFFFFF"/>
          </w:tcPr>
          <w:p>
            <w:pPr>
              <w:spacing w:after="0"/>
            </w:pPr>
            <w:r/>
            <w:r>
              <w:rPr>
                <w:b w:val="0"/>
                <w:i w:val="0"/>
                <w:sz w:val="17"/>
              </w:rPr>
            </w:r>
          </w:p>
        </w:tc>
      </w:tr>
      <w:tr>
        <w:trPr>
          <w:cantSplit w:val="true"/>
        </w:trPr>
        <w:tc>
          <w:tcPr>
            <w:tcW w:type="dxa" w:w="510"/>
          </w:tcPr>
          <w:p>
            <w:pPr>
              <w:spacing w:after="0"/>
              <w:jc w:val="center"/>
            </w:pPr>
            <w:r>
              <w:rPr>
                <w:sz w:val="24"/>
              </w:rPr>
            </w:r>
            <w:r>
              <w:rPr>
                <w:b w:val="0"/>
                <w:i w:val="0"/>
                <w:sz w:val="17"/>
              </w:rPr>
              <w:t>☐</w:t>
            </w:r>
          </w:p>
        </w:tc>
        <w:tc>
          <w:tcPr>
            <w:tcW w:type="dxa" w:w="5726"/>
          </w:tcPr>
          <w:p>
            <w:pPr>
              <w:spacing w:after="0"/>
            </w:pPr>
            <w:r/>
            <w:r>
              <w:rPr>
                <w:b w:val="0"/>
                <w:i w:val="0"/>
                <w:sz w:val="17"/>
              </w:rPr>
              <w:t>Relying on informal verbal handover between departing and arriving staff for technical procedures.</w:t>
            </w:r>
          </w:p>
        </w:tc>
        <w:tc>
          <w:tcPr>
            <w:tcW w:type="dxa" w:w="3402"/>
            <w:shd w:val="clear" w:color="auto" w:fill="FFFFFF"/>
          </w:tcPr>
          <w:p>
            <w:pPr>
              <w:spacing w:after="0"/>
            </w:pPr>
            <w:r/>
            <w:r>
              <w:rPr>
                <w:b w:val="0"/>
                <w:i w:val="0"/>
                <w:sz w:val="17"/>
              </w:rPr>
            </w:r>
          </w:p>
        </w:tc>
      </w:tr>
      <w:tr>
        <w:trPr>
          <w:cantSplit w:val="true"/>
        </w:trPr>
        <w:tc>
          <w:tcPr>
            <w:tcW w:type="dxa" w:w="510"/>
            <w:shd w:val="clear" w:color="auto" w:fill="F3EFE6"/>
          </w:tcPr>
          <w:p>
            <w:pPr>
              <w:spacing w:after="0"/>
              <w:jc w:val="center"/>
            </w:pPr>
            <w:r>
              <w:rPr>
                <w:sz w:val="24"/>
              </w:rPr>
            </w:r>
            <w:r>
              <w:rPr>
                <w:b w:val="0"/>
                <w:i w:val="0"/>
                <w:sz w:val="17"/>
              </w:rPr>
              <w:t>☐</w:t>
            </w:r>
          </w:p>
        </w:tc>
        <w:tc>
          <w:tcPr>
            <w:tcW w:type="dxa" w:w="5726"/>
            <w:shd w:val="clear" w:color="auto" w:fill="F3EFE6"/>
          </w:tcPr>
          <w:p>
            <w:pPr>
              <w:spacing w:after="0"/>
            </w:pPr>
            <w:r/>
            <w:r>
              <w:rPr>
                <w:b w:val="0"/>
                <w:i w:val="0"/>
                <w:sz w:val="17"/>
              </w:rPr>
              <w:t>Measuring seasonal onboarding success purely by throughput, without any competence-verification milestone.</w:t>
            </w:r>
          </w:p>
        </w:tc>
        <w:tc>
          <w:tcPr>
            <w:tcW w:type="dxa" w:w="3402"/>
            <w:shd w:val="clear" w:color="auto" w:fill="FFFFFF"/>
          </w:tcPr>
          <w:p>
            <w:pPr>
              <w:spacing w:after="0"/>
            </w:pPr>
            <w:r/>
            <w:r>
              <w:rPr>
                <w:b w:val="0"/>
                <w:i w:val="0"/>
                <w:sz w:val="17"/>
              </w:rPr>
            </w:r>
          </w:p>
        </w:tc>
      </w:tr>
      <w:tr>
        <w:trPr>
          <w:cantSplit w:val="true"/>
        </w:trPr>
        <w:tc>
          <w:tcPr>
            <w:tcW w:type="dxa" w:w="510"/>
          </w:tcPr>
          <w:p>
            <w:pPr>
              <w:spacing w:after="0"/>
              <w:jc w:val="center"/>
            </w:pPr>
            <w:r>
              <w:rPr>
                <w:sz w:val="24"/>
              </w:rPr>
            </w:r>
            <w:r>
              <w:rPr>
                <w:b w:val="0"/>
                <w:i w:val="0"/>
                <w:sz w:val="17"/>
              </w:rPr>
              <w:t>☐</w:t>
            </w:r>
          </w:p>
        </w:tc>
        <w:tc>
          <w:tcPr>
            <w:tcW w:type="dxa" w:w="5726"/>
          </w:tcPr>
          <w:p>
            <w:pPr>
              <w:spacing w:after="0"/>
            </w:pPr>
            <w:r/>
            <w:r>
              <w:rPr>
                <w:b w:val="0"/>
                <w:i w:val="0"/>
                <w:sz w:val="17"/>
              </w:rPr>
              <w:t>Assuming a longer or more detailed lecture substitutes for a demonstration-based verification component.</w:t>
            </w:r>
          </w:p>
        </w:tc>
        <w:tc>
          <w:tcPr>
            <w:tcW w:type="dxa" w:w="3402"/>
            <w:shd w:val="clear" w:color="auto" w:fill="FFFFFF"/>
          </w:tcPr>
          <w:p>
            <w:pPr>
              <w:spacing w:after="0"/>
            </w:pPr>
            <w:r/>
            <w:r>
              <w:rPr>
                <w:b w:val="0"/>
                <w:i w:val="0"/>
                <w:sz w:val="17"/>
              </w:rPr>
            </w:r>
          </w:p>
        </w:tc>
      </w:tr>
      <w:tr>
        <w:trPr>
          <w:cantSplit w:val="true"/>
        </w:trPr>
        <w:tc>
          <w:tcPr>
            <w:tcW w:type="dxa" w:w="510"/>
            <w:shd w:val="clear" w:color="auto" w:fill="F3EFE6"/>
          </w:tcPr>
          <w:p>
            <w:pPr>
              <w:spacing w:after="0"/>
              <w:jc w:val="center"/>
            </w:pPr>
            <w:r>
              <w:rPr>
                <w:sz w:val="24"/>
              </w:rPr>
            </w:r>
            <w:r>
              <w:rPr>
                <w:b w:val="0"/>
                <w:i w:val="0"/>
                <w:sz w:val="17"/>
              </w:rPr>
              <w:t>☐</w:t>
            </w:r>
          </w:p>
        </w:tc>
        <w:tc>
          <w:tcPr>
            <w:tcW w:type="dxa" w:w="5726"/>
            <w:shd w:val="clear" w:color="auto" w:fill="F3EFE6"/>
          </w:tcPr>
          <w:p>
            <w:pPr>
              <w:spacing w:after="0"/>
            </w:pPr>
            <w:r/>
            <w:r>
              <w:rPr>
                <w:b w:val="0"/>
                <w:i w:val="0"/>
                <w:sz w:val="17"/>
              </w:rPr>
              <w:t>Documenting only that training occurred, without recording what was specifically demonstrated or verified.</w:t>
            </w:r>
          </w:p>
        </w:tc>
        <w:tc>
          <w:tcPr>
            <w:tcW w:type="dxa" w:w="3402"/>
            <w:shd w:val="clear" w:color="auto" w:fill="FFFFFF"/>
          </w:tcPr>
          <w:p>
            <w:pPr>
              <w:spacing w:after="0"/>
            </w:pPr>
            <w:r/>
            <w:r>
              <w:rPr>
                <w:b w:val="0"/>
                <w:i w:val="0"/>
                <w:sz w:val="17"/>
              </w:rPr>
            </w:r>
          </w:p>
        </w:tc>
      </w:tr>
      <w:tr>
        <w:trPr>
          <w:cantSplit w:val="true"/>
        </w:trPr>
        <w:tc>
          <w:tcPr>
            <w:tcW w:type="dxa" w:w="510"/>
          </w:tcPr>
          <w:p>
            <w:pPr>
              <w:spacing w:after="0"/>
              <w:jc w:val="center"/>
            </w:pPr>
            <w:r>
              <w:rPr>
                <w:sz w:val="24"/>
              </w:rPr>
            </w:r>
            <w:r>
              <w:rPr>
                <w:b w:val="0"/>
                <w:i w:val="0"/>
                <w:sz w:val="17"/>
              </w:rPr>
              <w:t>☐</w:t>
            </w:r>
          </w:p>
        </w:tc>
        <w:tc>
          <w:tcPr>
            <w:tcW w:type="dxa" w:w="5726"/>
          </w:tcPr>
          <w:p>
            <w:pPr>
              <w:spacing w:after="0"/>
            </w:pPr>
            <w:r/>
            <w:r>
              <w:rPr>
                <w:b w:val="0"/>
                <w:i w:val="0"/>
                <w:sz w:val="17"/>
              </w:rPr>
              <w:t>Waiting for an incident to reveal a competence gap that a proportionate verification step would have caught in advance.</w:t>
            </w:r>
          </w:p>
        </w:tc>
        <w:tc>
          <w:tcPr>
            <w:tcW w:type="dxa" w:w="3402"/>
            <w:shd w:val="clear" w:color="auto" w:fill="FFFFFF"/>
          </w:tcPr>
          <w:p>
            <w:pPr>
              <w:spacing w:after="0"/>
            </w:pPr>
            <w:r/>
            <w:r>
              <w:rPr>
                <w:b w:val="0"/>
                <w:i w:val="0"/>
                <w:sz w:val="17"/>
              </w:rPr>
            </w:r>
          </w:p>
        </w:tc>
      </w:tr>
      <w:tr>
        <w:trPr>
          <w:cantSplit w:val="true"/>
        </w:trPr>
        <w:tc>
          <w:tcPr>
            <w:tcW w:type="dxa" w:w="510"/>
            <w:shd w:val="clear" w:color="auto" w:fill="F3EFE6"/>
          </w:tcPr>
          <w:p>
            <w:pPr>
              <w:spacing w:after="0"/>
              <w:jc w:val="center"/>
            </w:pPr>
            <w:r>
              <w:rPr>
                <w:sz w:val="24"/>
              </w:rPr>
            </w:r>
            <w:r>
              <w:rPr>
                <w:b w:val="0"/>
                <w:i w:val="0"/>
                <w:sz w:val="17"/>
              </w:rPr>
              <w:t>☐</w:t>
            </w:r>
          </w:p>
        </w:tc>
        <w:tc>
          <w:tcPr>
            <w:tcW w:type="dxa" w:w="5726"/>
            <w:shd w:val="clear" w:color="auto" w:fill="F3EFE6"/>
          </w:tcPr>
          <w:p>
            <w:pPr>
              <w:spacing w:after="0"/>
            </w:pPr>
            <w:r/>
            <w:r>
              <w:rPr>
                <w:b w:val="0"/>
                <w:i w:val="0"/>
                <w:sz w:val="17"/>
              </w:rPr>
              <w:t>Excluding contracted or agency-supplied workers from competence requirements that apply fully under the standard regardless of employment structure.</w:t>
            </w:r>
          </w:p>
        </w:tc>
        <w:tc>
          <w:tcPr>
            <w:tcW w:type="dxa" w:w="3402"/>
            <w:shd w:val="clear" w:color="auto" w:fill="FFFFFF"/>
          </w:tcPr>
          <w:p>
            <w:pPr>
              <w:spacing w:after="0"/>
            </w:pPr>
            <w:r/>
            <w:r>
              <w:rPr>
                <w:b w:val="0"/>
                <w:i w:val="0"/>
                <w:sz w:val="17"/>
              </w:rPr>
            </w:r>
          </w:p>
        </w:tc>
      </w:tr>
      <w:tr>
        <w:trPr>
          <w:cantSplit w:val="true"/>
        </w:trPr>
        <w:tc>
          <w:tcPr>
            <w:tcW w:type="dxa" w:w="510"/>
          </w:tcPr>
          <w:p>
            <w:pPr>
              <w:spacing w:after="0"/>
              <w:jc w:val="center"/>
            </w:pPr>
            <w:r>
              <w:rPr>
                <w:sz w:val="24"/>
              </w:rPr>
            </w:r>
            <w:r>
              <w:rPr>
                <w:b w:val="0"/>
                <w:i w:val="0"/>
                <w:sz w:val="17"/>
              </w:rPr>
              <w:t>☐</w:t>
            </w:r>
          </w:p>
        </w:tc>
        <w:tc>
          <w:tcPr>
            <w:tcW w:type="dxa" w:w="5726"/>
          </w:tcPr>
          <w:p>
            <w:pPr>
              <w:spacing w:after="0"/>
            </w:pPr>
            <w:r/>
            <w:r>
              <w:rPr>
                <w:b w:val="0"/>
                <w:i w:val="0"/>
                <w:sz w:val="17"/>
              </w:rPr>
              <w:t>Applying uniform verification rigor across all roles regardless of actual environmental consequence, wasting effort on low-risk tasks while under-verifying high-risk ones.</w:t>
            </w:r>
          </w:p>
        </w:tc>
        <w:tc>
          <w:tcPr>
            <w:tcW w:type="dxa" w:w="3402"/>
            <w:shd w:val="clear" w:color="auto" w:fill="FFFFFF"/>
          </w:tcPr>
          <w:p>
            <w:pPr>
              <w:spacing w:after="0"/>
            </w:pPr>
            <w:r/>
            <w:r>
              <w:rPr>
                <w:b w:val="0"/>
                <w:i w:val="0"/>
                <w:sz w:val="17"/>
              </w:rPr>
            </w:r>
          </w:p>
        </w:tc>
      </w:tr>
    </w:tbl>
    <w:p>
      <w:pPr>
        <w:keepNext/>
        <w:spacing w:after="80" w:before="200"/>
      </w:pPr>
      <w:r>
        <w:rPr>
          <w:b/>
          <w:i w:val="0"/>
          <w:color w:val="9A7B2E"/>
          <w:sz w:val="26"/>
        </w:rPr>
        <w:t>Operative Synthesis — Action Plan</w:t>
      </w:r>
    </w:p>
    <w:p>
      <w:pPr>
        <w:keepNext/>
        <w:spacing w:after="80" w:before="0"/>
      </w:pPr>
      <w:r>
        <w:rPr>
          <w:b w:val="0"/>
          <w:i/>
          <w:color w:val="5A5A5A"/>
          <w:sz w:val="18"/>
        </w:rPr>
        <w:t>The three horizons and their actions are copied from the book. Owner and due date are yours to fill: an action without both is a wish.</w:t>
      </w:r>
    </w:p>
    <w:tbl>
      <w:tblPr>
        <w:tblW w:type="dxa" w:w="9639"/>
        <w:jc w:val="center"/>
        <w:tblLook w:firstColumn="1" w:firstRow="1" w:lastColumn="0" w:lastRow="0" w:noHBand="0" w:noVBand="1" w:val="04A0"/>
        <w:tblBorders>
          <w:top w:val="single" w:sz="4" w:space="0" w:color="C9BBA6"/>
          <w:left w:val="single" w:sz="4" w:space="0" w:color="C9BBA6"/>
          <w:bottom w:val="single" w:sz="4" w:space="0" w:color="C9BBA6"/>
          <w:right w:val="single" w:sz="4" w:space="0" w:color="C9BBA6"/>
          <w:insideH w:val="single" w:sz="4" w:space="0" w:color="C9BBA6"/>
          <w:insideV w:val="single" w:sz="4" w:space="0" w:color="C9BBA6"/>
        </w:tblBorders>
        <w:tblLayout w:type="fixed"/>
        <w:tblCellMar>
          <w:top w:w="60" w:type="dxa"/>
          <w:left w:w="90" w:type="dxa"/>
          <w:bottom w:w="60" w:type="dxa"/>
          <w:right w:w="90" w:type="dxa"/>
        </w:tblCellMar>
        <w:tblLayout w:type="fixed"/>
      </w:tblPr>
      <w:tblGrid>
        <w:gridCol w:w="1587"/>
        <w:gridCol w:w="5329"/>
        <w:gridCol w:w="1474"/>
        <w:gridCol w:w="1247"/>
      </w:tblGrid>
      <w:tr>
        <w:trPr>
          <w:tblHeader w:val="true"/>
        </w:trPr>
        <w:tc>
          <w:tcPr>
            <w:tcW w:type="dxa" w:w="1587"/>
            <w:shd w:val="clear" w:color="auto" w:fill="1B2A4A"/>
          </w:tcPr>
          <w:p>
            <w:pPr>
              <w:spacing w:after="0"/>
            </w:pPr>
            <w:r/>
            <w:r>
              <w:rPr>
                <w:b/>
                <w:i w:val="0"/>
                <w:color w:val="FFFFFF"/>
                <w:sz w:val="17"/>
              </w:rPr>
              <w:t>Horizon</w:t>
            </w:r>
          </w:p>
        </w:tc>
        <w:tc>
          <w:tcPr>
            <w:tcW w:type="dxa" w:w="5329"/>
            <w:shd w:val="clear" w:color="auto" w:fill="1B2A4A"/>
          </w:tcPr>
          <w:p>
            <w:pPr>
              <w:spacing w:after="0"/>
            </w:pPr>
            <w:r/>
            <w:r>
              <w:rPr>
                <w:b/>
                <w:i w:val="0"/>
                <w:color w:val="FFFFFF"/>
                <w:sz w:val="17"/>
              </w:rPr>
              <w:t>Action from the book</w:t>
            </w:r>
          </w:p>
        </w:tc>
        <w:tc>
          <w:tcPr>
            <w:tcW w:type="dxa" w:w="1474"/>
            <w:shd w:val="clear" w:color="auto" w:fill="1B2A4A"/>
          </w:tcPr>
          <w:p>
            <w:pPr>
              <w:spacing w:after="0"/>
            </w:pPr>
            <w:r/>
            <w:r>
              <w:rPr>
                <w:b/>
                <w:i w:val="0"/>
                <w:color w:val="FFFFFF"/>
                <w:sz w:val="17"/>
              </w:rPr>
              <w:t>Owner</w:t>
            </w:r>
          </w:p>
        </w:tc>
        <w:tc>
          <w:tcPr>
            <w:tcW w:type="dxa" w:w="1247"/>
            <w:shd w:val="clear" w:color="auto" w:fill="1B2A4A"/>
          </w:tcPr>
          <w:p>
            <w:pPr>
              <w:spacing w:after="0"/>
            </w:pPr>
            <w:r/>
            <w:r>
              <w:rPr>
                <w:b/>
                <w:i w:val="0"/>
                <w:color w:val="FFFFFF"/>
                <w:sz w:val="17"/>
              </w:rPr>
              <w:t>Due date</w:t>
            </w:r>
          </w:p>
        </w:tc>
      </w:tr>
      <w:tr>
        <w:trPr>
          <w:cantSplit w:val="true"/>
        </w:trPr>
        <w:tc>
          <w:tcPr>
            <w:tcW w:type="dxa" w:w="1587"/>
            <w:shd w:val="clear" w:color="auto" w:fill="F3EFE6"/>
          </w:tcPr>
          <w:p>
            <w:pPr>
              <w:spacing w:after="0"/>
            </w:pPr>
            <w:r/>
            <w:r>
              <w:rPr>
                <w:b/>
                <w:i w:val="0"/>
                <w:sz w:val="17"/>
              </w:rPr>
              <w:t>Act on immediately</w:t>
            </w:r>
          </w:p>
        </w:tc>
        <w:tc>
          <w:tcPr>
            <w:tcW w:type="dxa" w:w="5329"/>
            <w:shd w:val="clear" w:color="auto" w:fill="F3EFE6"/>
          </w:tcPr>
          <w:p>
            <w:pPr>
              <w:spacing w:after="0"/>
            </w:pPr>
            <w:r/>
            <w:r>
              <w:rPr>
                <w:b w:val="0"/>
                <w:i w:val="0"/>
                <w:sz w:val="17"/>
              </w:rPr>
              <w:t>List every task performed by seasonal, agency, or contracted staff that carries genuine environmental or safety consequence if done incorrectly, and confirm directly whether current competence verification for each amounts to more than a signed attendance sheet.</w:t>
            </w:r>
          </w:p>
        </w:tc>
        <w:tc>
          <w:tcPr>
            <w:tcW w:type="dxa" w:w="1474"/>
            <w:shd w:val="clear" w:color="auto" w:fill="FFFFFF"/>
          </w:tcPr>
          <w:p>
            <w:pPr>
              <w:spacing w:after="0"/>
            </w:pPr>
            <w:r/>
            <w:r>
              <w:rPr>
                <w:b w:val="0"/>
                <w:i w:val="0"/>
                <w:sz w:val="17"/>
              </w:rPr>
            </w:r>
          </w:p>
        </w:tc>
        <w:tc>
          <w:tcPr>
            <w:tcW w:type="dxa" w:w="1247"/>
            <w:shd w:val="clear" w:color="auto" w:fill="FFFFFF"/>
          </w:tcPr>
          <w:p>
            <w:pPr>
              <w:spacing w:after="0"/>
            </w:pPr>
            <w:r/>
            <w:r>
              <w:rPr>
                <w:b w:val="0"/>
                <w:i w:val="0"/>
                <w:sz w:val="17"/>
              </w:rPr>
            </w:r>
          </w:p>
        </w:tc>
      </w:tr>
      <w:tr>
        <w:trPr>
          <w:cantSplit w:val="true"/>
        </w:trPr>
        <w:tc>
          <w:tcPr>
            <w:tcW w:type="dxa" w:w="1587"/>
          </w:tcPr>
          <w:p>
            <w:pPr>
              <w:spacing w:after="0"/>
            </w:pPr>
            <w:r/>
            <w:r>
              <w:rPr>
                <w:b/>
                <w:i w:val="0"/>
                <w:sz w:val="17"/>
              </w:rPr>
              <w:t>Plan for</w:t>
            </w:r>
          </w:p>
        </w:tc>
        <w:tc>
          <w:tcPr>
            <w:tcW w:type="dxa" w:w="5329"/>
          </w:tcPr>
          <w:p>
            <w:pPr>
              <w:spacing w:after="0"/>
            </w:pPr>
            <w:r/>
            <w:r>
              <w:rPr>
                <w:b w:val="0"/>
                <w:i w:val="0"/>
                <w:sz w:val="17"/>
              </w:rPr>
              <w:t>Separate high-consequence tasks from general orientation content, building a dedicated verification step for each — at Mykonos, a supervised demonstration, other properties may choose other proportionate evidence; and renegotiate any staffing agency relationship to include a competence-verification milestone for designated roles, not throughput alone.</w:t>
            </w:r>
          </w:p>
        </w:tc>
        <w:tc>
          <w:tcPr>
            <w:tcW w:type="dxa" w:w="1474"/>
            <w:shd w:val="clear" w:color="auto" w:fill="FFFFFF"/>
          </w:tcPr>
          <w:p>
            <w:pPr>
              <w:spacing w:after="0"/>
            </w:pPr>
            <w:r/>
            <w:r>
              <w:rPr>
                <w:b w:val="0"/>
                <w:i w:val="0"/>
                <w:sz w:val="17"/>
              </w:rPr>
            </w:r>
          </w:p>
        </w:tc>
        <w:tc>
          <w:tcPr>
            <w:tcW w:type="dxa" w:w="1247"/>
            <w:shd w:val="clear" w:color="auto" w:fill="FFFFFF"/>
          </w:tcPr>
          <w:p>
            <w:pPr>
              <w:spacing w:after="0"/>
            </w:pPr>
            <w:r/>
            <w:r>
              <w:rPr>
                <w:b w:val="0"/>
                <w:i w:val="0"/>
                <w:sz w:val="17"/>
              </w:rPr>
            </w:r>
          </w:p>
        </w:tc>
      </w:tr>
      <w:tr>
        <w:trPr>
          <w:cantSplit w:val="true"/>
        </w:trPr>
        <w:tc>
          <w:tcPr>
            <w:tcW w:type="dxa" w:w="1587"/>
            <w:shd w:val="clear" w:color="auto" w:fill="F3EFE6"/>
          </w:tcPr>
          <w:p>
            <w:pPr>
              <w:spacing w:after="0"/>
            </w:pPr>
            <w:r/>
            <w:r>
              <w:rPr>
                <w:b/>
                <w:i w:val="0"/>
                <w:sz w:val="17"/>
              </w:rPr>
              <w:t>Monitor going forward</w:t>
            </w:r>
          </w:p>
        </w:tc>
        <w:tc>
          <w:tcPr>
            <w:tcW w:type="dxa" w:w="5329"/>
            <w:shd w:val="clear" w:color="auto" w:fill="F3EFE6"/>
          </w:tcPr>
          <w:p>
            <w:pPr>
              <w:spacing w:after="0"/>
            </w:pPr>
            <w:r/>
            <w:r>
              <w:rPr>
                <w:b w:val="0"/>
                <w:i w:val="0"/>
                <w:sz w:val="17"/>
              </w:rPr>
              <w:t>Redesign training documentation to capture what was demonstrated and verified, by whom, and when — not only that a session occurred — and review this record specifically before permitting independent performance of any high-consequence task.</w:t>
            </w:r>
          </w:p>
        </w:tc>
        <w:tc>
          <w:tcPr>
            <w:tcW w:type="dxa" w:w="1474"/>
            <w:shd w:val="clear" w:color="auto" w:fill="FFFFFF"/>
          </w:tcPr>
          <w:p>
            <w:pPr>
              <w:spacing w:after="0"/>
            </w:pPr>
            <w:r/>
            <w:r>
              <w:rPr>
                <w:b w:val="0"/>
                <w:i w:val="0"/>
                <w:sz w:val="17"/>
              </w:rPr>
            </w:r>
          </w:p>
        </w:tc>
        <w:tc>
          <w:tcPr>
            <w:tcW w:type="dxa" w:w="1247"/>
            <w:shd w:val="clear" w:color="auto" w:fill="FFFFFF"/>
          </w:tcPr>
          <w:p>
            <w:pPr>
              <w:spacing w:after="0"/>
            </w:pPr>
            <w:r/>
            <w:r>
              <w:rPr>
                <w:b w:val="0"/>
                <w:i w:val="0"/>
                <w:sz w:val="17"/>
              </w:rPr>
            </w:r>
          </w:p>
        </w:tc>
      </w:tr>
    </w:tbl>
    <w:p>
      <w:pPr>
        <w:spacing w:after="120" w:before="0"/>
      </w:pPr>
    </w:p>
    <w:tbl>
      <w:tblPr>
        <w:tblW w:type="dxa" w:w="9639"/>
        <w:jc w:val="center"/>
        <w:tblLook w:firstColumn="1" w:firstRow="1" w:lastColumn="0" w:lastRow="0" w:noHBand="0" w:noVBand="1" w:val="04A0"/>
        <w:tblLayout w:type="fixed"/>
        <w:tblCellMar>
          <w:top w:w="120" w:type="dxa"/>
          <w:left w:w="200" w:type="dxa"/>
          <w:bottom w:w="120" w:type="dxa"/>
          <w:right w:w="160" w:type="dxa"/>
        </w:tblCellMar>
        <w:tblLayout w:type="fixed"/>
      </w:tblPr>
      <w:tblGrid>
        <w:gridCol w:w="9639"/>
      </w:tblGrid>
      <w:tr>
        <w:tc>
          <w:tcPr>
            <w:tcW w:type="dxa" w:w="9638"/>
            <w:shd w:val="clear" w:color="auto" w:fill="FFFFFF"/>
            <w:tcBorders>
              <w:left w:val="single" w:sz="24" w:space="0" w:color="C9BBA6"/>
              <w:top w:val="single" w:sz="4" w:space="0" w:color="FFFFFF"/>
              <w:bottom w:val="single" w:sz="4" w:space="0" w:color="FFFFFF"/>
              <w:right w:val="single" w:sz="4" w:space="0" w:color="FFFFFF"/>
            </w:tcBorders>
          </w:tcPr>
          <w:p>
            <w:pPr>
              <w:spacing w:after="60"/>
            </w:pPr>
            <w:r>
              <w:rPr>
                <w:b/>
                <w:color w:val="5A5A5A"/>
                <w:sz w:val="17"/>
              </w:rPr>
              <w:t>WHAT THIS SHEET IS NOT</w:t>
            </w:r>
          </w:p>
          <w:p>
            <w:pPr>
              <w:spacing w:after="40"/>
            </w:pPr>
            <w:r>
              <w:rPr>
                <w:i/>
                <w:color w:val="333333"/>
                <w:sz w:val="18"/>
              </w:rPr>
              <w:t>ISO 14001 does not prescribe this form. No clause asks for this worksheet, its columns or a register of market claims; the standard sets requirements and leaves the means to the organisation. This sheet is a working aid drawn from the book: use it, change it or set it aside. Where it touches a requirement, the text of ISO 14001:2026 is the authority, not this page — and nothing on it replaces your own reading of that text.</w:t>
            </w:r>
          </w:p>
        </w:tc>
      </w:tr>
    </w:tbl>
    <w:p>
      <w:pPr>
        <w:spacing w:after="40"/>
      </w:pPr>
    </w:p>
    <w:p>
      <w:pPr>
        <w:spacing w:after="80" w:before="80"/>
      </w:pPr>
      <w:r>
        <w:rPr>
          <w:b w:val="0"/>
          <w:i w:val="0"/>
          <w:color w:val="9A7B2E"/>
          <w:sz w:val="16"/>
        </w:rPr>
        <w:t>Source: Francesco Dore, The Helm and the Lens, Volume 1a — ISO 14001:2026, subchapter 2.2. Edizioni Effedore 2026. © 2026 Francesco Dore. Free to adapt for use in your own property. enbooks.effedore.com</w:t>
      </w:r>
    </w:p>
    <w:sectPr w:rsidR="00FC693F" w:rsidRPr="0006063C" w:rsidSect="00034616">
      <w:headerReference w:type="default" r:id="rId9"/>
      <w:footerReference w:type="default" r:id="rId10"/>
      <w:pgSz w:w="11906" w:h="16838"/>
      <w:pgMar w:top="1134" w:right="1134" w:bottom="1134" w:left="1134" w:header="510" w:footer="51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color w:val="5A5A5A"/>
        <w:sz w:val="16"/>
      </w:rPr>
      <w:t xml:space="preserve">The Helm and the Lens · Volume 1a · Working material 2.2 · enbooks.effedore.com · page </w:t>
    </w:r>
    <w:r>
      <w:rPr>
        <w:color w:val="5A5A5A"/>
        <w:sz w:val="16"/>
      </w:rP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6" w:space="4" w:color="C9BBA6"/>
      </w:pBdr>
    </w:pPr>
    <w:r/>
    <w:r>
      <w:rPr>
        <w:b/>
        <w:color w:val="9A7B2E"/>
        <w:sz w:val="17"/>
      </w:rPr>
      <w:t>The Helm and the Lens · Volume 1a · ISO 14001:2026 — The Helm</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69" w:lineRule="auto"/>
    </w:pPr>
    <w:rPr>
      <w:rFonts w:ascii="Aptos" w:hAnsi="Aptos" w:cs="Aptos" w:eastAsia="Aptos"/>
      <w:color w:val="222222"/>
      <w:sz w:val="20"/>
      <w:lang w:val="en-GB"/>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