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2.3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Awareness Across Every Department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2.3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housekeeping team can be perfectly trained to honour a towel reuse programme. What happens when the front desk, wanting only to make a valued guest feel cared for, quietly undoes it every single day without knowing that is what they are doing?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Awareness training under clause 7.3 only needs to reach staff who directly perform an environmental procedure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covers persons whose work is associated with a significant aspect’s impact, which extends to any role genuinely capable of affecting the outcome, not only the role formally executing it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Awareness and competence are the same requirement, satisfied by the same training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Annex A distinguishes awareness — attitudes, understanding, and norms — from competence, which concerns skill and capability; a role can need one without needing the other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department with no direct environmental task, such as front desk or sales, falls outside clause 7.3’s scope by default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Scope is determined by whether the role’s work is associated with a significant aspect’s outcome, which can include indirect influence through guest interaction, informal decisions, or service culture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well-intentioned informal override of a guest preference, done as an act of hospitality, cannot be a nonconformity under an environmental management system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It can be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Where the override undermines a system requirement — here, honouring a guest’s own stated reuse preference — the good intent behind it does not change its effect on the system’s performance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Awareness gaps in guest-facing departments are lower priority than gaps in operational departments because their work involves no direct environmental handling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Priority should follow actual influence over significant aspects, which the Kyoto case shows can run through guest-facing roles as powerfully as through operational ones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Once a programme like linen reuse is functioning correctly at launch, awareness does not need reinforcing over time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Cultural drift, as this case demonstrates, can erode a functioning programme gradually through informal practice long after its initial launch, without any single decision to abandon it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Awareness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 our most significant environmental programme depending on guest cooperation, which departments beyond the formally responsible one have any guest interaction or informal discretion?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exact question that would have caught Kyoto’s gap before it reached the utility data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monitoring check only the formally responsible department’s own records, or does it cross-reference actual consumption against expected performance?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Housekeeping’s records were accurate throughout; only the consumption data revealed the gap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Have we identified the specific cultural or professional instinct in our own service context most likely to override an environmental programme?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Generic awareness content will not address an instinct as specific and well-intentioned as the one at Kyoto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there an alternative way for staff to express the same underlying value without conflicting with an environmental commitment?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Closing an override channel without offering an alternative risks suppressing a genuinely valuable service instinct rather than redirecting it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If we investigated this pattern through documentation review alone, would we find it — or does it require a direct, non-accusatory conversation?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Kyoto’s gap was hard to see for an audit that checked only formal records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Scoping awareness training around the department formally responsible for executing a procedure, without considering other departments with informal influence over its outcome.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Confusing awareness training with competence training, and assuming one satisfies the other.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guest-facing departments with no direct environmental task fall outside clause 7.3’s scope by default.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recognise that a genuine, well-intentioned cultural instinct can systematically undermine an environmental programme without any deliberate decision to do so.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a discovered pattern’s correction as a reminder to the formally responsible department, without investigating where the pattern actually originated.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Leaving an informal override channel available and unrecorded, rather than requiring an explicit, logged justification.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give staff whose instinct drives an override pattern an alternative way to express the same underlying value without conflicting with the programme.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functioning programme, once launched successfully, does not require ongoing awareness reinforcement as staff and informal practices change over time.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Communicating a policy commitment only as a document, without making its connection to concrete guest-facing decisions explicit and visible.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Building awareness training around generic environmental content rather than the specific cultural or professional instinct most likely to override a given programme in this context.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 the property’s most significant environmental programme depending on guest cooperation, list every department with any guest interaction or informal discretion that could affect its outcome — not only the department formally responsible for its mechanics — and confirm directly whether those departments have ever received any awareness training connected to it.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Build awareness training that names the specific cultural or professional instinct most likely to override the programme in this particular service context, rather than delivering generic environmental content; and close any informal override channel structurally, requiring explicit, logged justification rather than leaving it available as an unrecorded courtesy.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 consumption or performance data specifically for gradual, unexplained drift away from expected programme performance, treating such drift as a likely signal of an awareness gap in a department the original programme design never considered, rather than assuming the formally responsible department has simply become less diligent.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2.3.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2.3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