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before="0"/>
      </w:pPr>
      <w:r>
        <w:rPr>
          <w:b/>
          <w:i w:val="0"/>
          <w:color w:val="9A7B2E"/>
          <w:sz w:val="18"/>
        </w:rPr>
        <w:t>Working Material 2.4</w:t>
      </w:r>
    </w:p>
    <w:p>
      <w:pPr>
        <w:keepNext/>
        <w:spacing w:after="40" w:before="0"/>
      </w:pPr>
      <w:r>
        <w:rPr>
          <w:b/>
          <w:i w:val="0"/>
          <w:color w:val="1B2A4A"/>
          <w:sz w:val="40"/>
        </w:rPr>
        <w:t>Communication, Internal and External</w:t>
      </w:r>
    </w:p>
    <w:p>
      <w:pPr>
        <w:spacing w:after="160" w:before="0"/>
      </w:pPr>
      <w:r>
        <w:rPr>
          <w:b w:val="0"/>
          <w:i/>
          <w:color w:val="5A5A5A"/>
          <w:sz w:val="17"/>
        </w:rPr>
        <w:t>ISO 14001:2026 · Material date: 25 October 2026</w:t>
      </w:r>
    </w:p>
    <w:p>
      <w:pPr>
        <w:spacing w:after="160" w:before="0"/>
      </w:pPr>
      <w:r>
        <w:rPr>
          <w:b w:val="0"/>
          <w:i/>
          <w:color w:val="333333"/>
          <w:sz w:val="19"/>
        </w:rPr>
        <w:t>This sheet puts the working parts of subchapter 2.4 into editable form: the Verification Pact, the review questions, the common mistakes as a self-check and the Operative Synthesis as an action plan. The empty columns are for your property. The reasoning behind each row is in the book.</w:t>
      </w:r>
    </w:p>
    <w:tbl>
      <w:tblPr>
        <w:tblW w:type="dxa" w:w="9639"/>
        <w:jc w:val="center"/>
        <w:tblLook w:firstColumn="1" w:firstRow="1" w:lastColumn="0" w:lastRow="0" w:noHBand="0" w:noVBand="1" w:val="04A0"/>
        <w:tblLayout w:type="fixed"/>
        <w:tblCellMar>
          <w:top w:w="120" w:type="dxa"/>
          <w:left w:w="200" w:type="dxa"/>
          <w:bottom w:w="120" w:type="dxa"/>
          <w:right w:w="160" w:type="dxa"/>
        </w:tblCellMar>
        <w:tblLayout w:type="fixed"/>
      </w:tblPr>
      <w:tblGrid>
        <w:gridCol w:w="9639"/>
      </w:tblGrid>
      <w:tr>
        <w:tc>
          <w:tcPr>
            <w:tcW w:type="dxa" w:w="9638"/>
            <w:shd w:val="clear" w:color="auto" w:fill="F3EFE6"/>
            <w:tcBorders>
              <w:left w:val="single" w:sz="24" w:space="0" w:color="9A7B2E"/>
              <w:top w:val="single" w:sz="4" w:space="0" w:color="F3EFE6"/>
              <w:bottom w:val="single" w:sz="4" w:space="0" w:color="F3EFE6"/>
              <w:right w:val="single" w:sz="4" w:space="0" w:color="F3EFE6"/>
            </w:tcBorders>
          </w:tcPr>
          <w:p>
            <w:pPr>
              <w:spacing w:after="60"/>
            </w:pPr>
            <w:r>
              <w:rPr>
                <w:b/>
                <w:color w:val="9A7B2E"/>
                <w:sz w:val="17"/>
              </w:rPr>
              <w:t>GUIDING QUESTION</w:t>
            </w:r>
          </w:p>
          <w:p>
            <w:pPr>
              <w:spacing w:after="40"/>
            </w:pPr>
            <w:r>
              <w:rPr>
                <w:i w:val="0"/>
                <w:color w:val="1B2A4A"/>
                <w:sz w:val="21"/>
              </w:rPr>
              <w:t>A hotel can circulate a beautifully written quarterly sustainability newsletter to every employee and still have no way for the one employee who has noticed a real problem for over a year to tell anyone who could actually fix it.</w:t>
            </w:r>
          </w:p>
        </w:tc>
      </w:tr>
    </w:tbl>
    <w:p>
      <w:pPr>
        <w:spacing w:after="40"/>
      </w:pPr>
    </w:p>
    <w:p>
      <w:pPr>
        <w:keepNext/>
        <w:spacing w:after="80" w:before="200"/>
      </w:pPr>
      <w:r>
        <w:rPr>
          <w:b/>
          <w:i w:val="0"/>
          <w:color w:val="9A7B2E"/>
          <w:sz w:val="26"/>
        </w:rPr>
        <w:t>Verification Pact: Market Claims Against the Standard</w:t>
      </w:r>
    </w:p>
    <w:p>
      <w:pPr>
        <w:keepNext/>
        <w:spacing w:after="80" w:before="0"/>
      </w:pPr>
      <w:r>
        <w:rPr>
          <w:b w:val="0"/>
          <w:i/>
          <w:color w:val="5A5A5A"/>
          <w:sz w:val="18"/>
        </w:rPr>
        <w:t>The first three columns are copied from the book. In the last one, note whether this claim circulates in your property — in a proposal, a brochure, a supplier’s pitch or your own documents — and what you now hold instead.</w:t>
      </w:r>
    </w:p>
    <w:tbl>
      <w:tblPr>
        <w:tblW w:type="dxa" w:w="9639"/>
        <w:jc w:val="center"/>
        <w:tblLook w:firstColumn="1" w:firstRow="1" w:lastColumn="0" w:lastRow="0" w:noHBand="0" w:noVBand="1" w:val="04A0"/>
        <w:tblBorders>
          <w:top w:val="single" w:sz="4" w:space="0" w:color="C9BBA6"/>
          <w:left w:val="single" w:sz="4" w:space="0" w:color="C9BBA6"/>
          <w:bottom w:val="single" w:sz="4" w:space="0" w:color="C9BBA6"/>
          <w:right w:val="single" w:sz="4" w:space="0" w:color="C9BBA6"/>
          <w:insideH w:val="single" w:sz="4" w:space="0" w:color="C9BBA6"/>
          <w:insideV w:val="single" w:sz="4" w:space="0" w:color="C9BBA6"/>
        </w:tblBorders>
        <w:tblLayout w:type="fixed"/>
        <w:tblCellMar>
          <w:top w:w="60" w:type="dxa"/>
          <w:left w:w="90" w:type="dxa"/>
          <w:bottom w:w="60" w:type="dxa"/>
          <w:right w:w="90" w:type="dxa"/>
        </w:tblCellMar>
        <w:tblLayout w:type="fixed"/>
      </w:tblPr>
      <w:tblGrid>
        <w:gridCol w:w="2551"/>
        <w:gridCol w:w="1190"/>
        <w:gridCol w:w="3515"/>
        <w:gridCol w:w="2381"/>
      </w:tblGrid>
      <w:tr>
        <w:trPr>
          <w:tblHeader w:val="true"/>
        </w:trPr>
        <w:tc>
          <w:tcPr>
            <w:tcW w:type="dxa" w:w="2551"/>
            <w:shd w:val="clear" w:color="auto" w:fill="1B2A4A"/>
          </w:tcPr>
          <w:p>
            <w:pPr>
              <w:spacing w:after="0"/>
            </w:pPr>
            <w:r/>
            <w:r>
              <w:rPr>
                <w:b/>
                <w:i w:val="0"/>
                <w:color w:val="FFFFFF"/>
                <w:sz w:val="17"/>
              </w:rPr>
              <w:t>What is claimed</w:t>
            </w:r>
          </w:p>
        </w:tc>
        <w:tc>
          <w:tcPr>
            <w:tcW w:type="dxa" w:w="1191"/>
            <w:shd w:val="clear" w:color="auto" w:fill="1B2A4A"/>
          </w:tcPr>
          <w:p>
            <w:pPr>
              <w:spacing w:after="0"/>
            </w:pPr>
            <w:r/>
            <w:r>
              <w:rPr>
                <w:b/>
                <w:i w:val="0"/>
                <w:color w:val="FFFFFF"/>
                <w:sz w:val="17"/>
              </w:rPr>
              <w:t>Binding?</w:t>
            </w:r>
          </w:p>
        </w:tc>
        <w:tc>
          <w:tcPr>
            <w:tcW w:type="dxa" w:w="3515"/>
            <w:shd w:val="clear" w:color="auto" w:fill="1B2A4A"/>
          </w:tcPr>
          <w:p>
            <w:pPr>
              <w:spacing w:after="0"/>
            </w:pPr>
            <w:r/>
            <w:r>
              <w:rPr>
                <w:b/>
                <w:i w:val="0"/>
                <w:color w:val="FFFFFF"/>
                <w:sz w:val="17"/>
              </w:rPr>
              <w:t>What actually holds</w:t>
            </w:r>
          </w:p>
        </w:tc>
        <w:tc>
          <w:tcPr>
            <w:tcW w:type="dxa" w:w="2381"/>
            <w:shd w:val="clear" w:color="auto" w:fill="1B2A4A"/>
          </w:tcPr>
          <w:p>
            <w:pPr>
              <w:spacing w:after="0"/>
            </w:pPr>
            <w:r/>
            <w:r>
              <w:rPr>
                <w:b/>
                <w:i w:val="0"/>
                <w:color w:val="FFFFFF"/>
                <w:sz w:val="17"/>
              </w:rPr>
              <w:t>In our property</w:t>
            </w:r>
          </w:p>
        </w:tc>
      </w:tr>
      <w:tr>
        <w:trPr>
          <w:cantSplit w:val="true"/>
        </w:trPr>
        <w:tc>
          <w:tcPr>
            <w:tcW w:type="dxa" w:w="2551"/>
            <w:shd w:val="clear" w:color="auto" w:fill="F3EFE6"/>
          </w:tcPr>
          <w:p>
            <w:pPr>
              <w:spacing w:after="0"/>
            </w:pPr>
            <w:r/>
            <w:r>
              <w:rPr>
                <w:b w:val="0"/>
                <w:i w:val="0"/>
                <w:sz w:val="17"/>
              </w:rPr>
              <w:t>A strong internal newsletter and briefing programme satisfies clause 7.4’s internal communication requirement</w:t>
            </w:r>
          </w:p>
        </w:tc>
        <w:tc>
          <w:tcPr>
            <w:tcW w:type="dxa" w:w="1191"/>
            <w:shd w:val="clear" w:color="auto" w:fill="F3EFE6"/>
          </w:tcPr>
          <w:p>
            <w:pPr>
              <w:spacing w:after="0"/>
            </w:pPr>
            <w:r/>
            <w:r>
              <w:rPr>
                <w:b w:val="0"/>
                <w:i w:val="0"/>
                <w:sz w:val="17"/>
              </w:rPr>
              <w:t>No</w:t>
            </w:r>
          </w:p>
        </w:tc>
        <w:tc>
          <w:tcPr>
            <w:tcW w:type="dxa" w:w="3515"/>
            <w:shd w:val="clear" w:color="auto" w:fill="F3EFE6"/>
          </w:tcPr>
          <w:p>
            <w:pPr>
              <w:spacing w:after="0"/>
            </w:pPr>
            <w:r/>
            <w:r>
              <w:rPr>
                <w:b w:val="0"/>
                <w:i w:val="0"/>
                <w:sz w:val="17"/>
              </w:rPr>
              <w:t>Clause 7.4.2 specifically requires the process to enable upward contribution to continual improvement, not only effective downward broadcasting</w:t>
            </w:r>
          </w:p>
        </w:tc>
        <w:tc>
          <w:tcPr>
            <w:tcW w:type="dxa" w:w="2381"/>
            <w:shd w:val="clear" w:color="auto" w:fill="FFFFFF"/>
          </w:tcPr>
          <w:p>
            <w:pPr>
              <w:spacing w:after="0"/>
            </w:pPr>
            <w:r/>
            <w:r>
              <w:rPr>
                <w:b w:val="0"/>
                <w:i w:val="0"/>
                <w:sz w:val="17"/>
              </w:rPr>
            </w:r>
          </w:p>
        </w:tc>
      </w:tr>
      <w:tr>
        <w:trPr>
          <w:cantSplit w:val="true"/>
        </w:trPr>
        <w:tc>
          <w:tcPr>
            <w:tcW w:type="dxa" w:w="2551"/>
          </w:tcPr>
          <w:p>
            <w:pPr>
              <w:spacing w:after="0"/>
            </w:pPr>
            <w:r/>
            <w:r>
              <w:rPr>
                <w:b w:val="0"/>
                <w:i w:val="0"/>
                <w:sz w:val="17"/>
              </w:rPr>
              <w:t>Informal verbal reporting to a direct supervisor satisfies the standard’s communication requirement for staff observations</w:t>
            </w:r>
          </w:p>
        </w:tc>
        <w:tc>
          <w:tcPr>
            <w:tcW w:type="dxa" w:w="1191"/>
          </w:tcPr>
          <w:p>
            <w:pPr>
              <w:spacing w:after="0"/>
            </w:pPr>
            <w:r/>
            <w:r>
              <w:rPr>
                <w:b w:val="0"/>
                <w:i w:val="0"/>
                <w:sz w:val="17"/>
              </w:rPr>
              <w:t>No</w:t>
            </w:r>
          </w:p>
        </w:tc>
        <w:tc>
          <w:tcPr>
            <w:tcW w:type="dxa" w:w="3515"/>
          </w:tcPr>
          <w:p>
            <w:pPr>
              <w:spacing w:after="0"/>
            </w:pPr>
            <w:r/>
            <w:r>
              <w:rPr>
                <w:b w:val="0"/>
                <w:i w:val="0"/>
                <w:sz w:val="17"/>
              </w:rPr>
              <w:t>Without any mechanism to track, escalate, or act on an informal observation, the process has not genuinely enabled the contribution the clause requires</w:t>
            </w:r>
          </w:p>
        </w:tc>
        <w:tc>
          <w:tcPr>
            <w:tcW w:type="dxa" w:w="2381"/>
            <w:shd w:val="clear" w:color="auto" w:fill="FFFFFF"/>
          </w:tcPr>
          <w:p>
            <w:pPr>
              <w:spacing w:after="0"/>
            </w:pPr>
            <w:r/>
            <w:r>
              <w:rPr>
                <w:b w:val="0"/>
                <w:i w:val="0"/>
                <w:sz w:val="17"/>
              </w:rPr>
            </w:r>
          </w:p>
        </w:tc>
      </w:tr>
      <w:tr>
        <w:trPr>
          <w:cantSplit w:val="true"/>
        </w:trPr>
        <w:tc>
          <w:tcPr>
            <w:tcW w:type="dxa" w:w="2551"/>
            <w:shd w:val="clear" w:color="auto" w:fill="F3EFE6"/>
          </w:tcPr>
          <w:p>
            <w:pPr>
              <w:spacing w:after="0"/>
            </w:pPr>
            <w:r/>
            <w:r>
              <w:rPr>
                <w:b w:val="0"/>
                <w:i w:val="0"/>
                <w:sz w:val="17"/>
              </w:rPr>
              <w:t>ISO 14001 requires an organisation to publicly disclose all of its significant environmental aspects</w:t>
            </w:r>
          </w:p>
        </w:tc>
        <w:tc>
          <w:tcPr>
            <w:tcW w:type="dxa" w:w="1191"/>
            <w:shd w:val="clear" w:color="auto" w:fill="F3EFE6"/>
          </w:tcPr>
          <w:p>
            <w:pPr>
              <w:spacing w:after="0"/>
            </w:pPr>
            <w:r/>
            <w:r>
              <w:rPr>
                <w:b w:val="0"/>
                <w:i w:val="0"/>
                <w:sz w:val="17"/>
              </w:rPr>
              <w:t>No</w:t>
            </w:r>
          </w:p>
        </w:tc>
        <w:tc>
          <w:tcPr>
            <w:tcW w:type="dxa" w:w="3515"/>
            <w:shd w:val="clear" w:color="auto" w:fill="F3EFE6"/>
          </w:tcPr>
          <w:p>
            <w:pPr>
              <w:spacing w:after="0"/>
            </w:pPr>
            <w:r/>
            <w:r>
              <w:rPr>
                <w:b w:val="0"/>
                <w:i w:val="0"/>
                <w:sz w:val="17"/>
              </w:rPr>
              <w:t>Clause 7.4.3 requires external communication as established by the organisation’s own process and as required by its compliance obligations — not automatic public disclosure of every significant aspect</w:t>
            </w:r>
          </w:p>
        </w:tc>
        <w:tc>
          <w:tcPr>
            <w:tcW w:type="dxa" w:w="2381"/>
            <w:shd w:val="clear" w:color="auto" w:fill="FFFFFF"/>
          </w:tcPr>
          <w:p>
            <w:pPr>
              <w:spacing w:after="0"/>
            </w:pPr>
            <w:r/>
            <w:r>
              <w:rPr>
                <w:b w:val="0"/>
                <w:i w:val="0"/>
                <w:sz w:val="17"/>
              </w:rPr>
            </w:r>
          </w:p>
        </w:tc>
      </w:tr>
      <w:tr>
        <w:trPr>
          <w:cantSplit w:val="true"/>
        </w:trPr>
        <w:tc>
          <w:tcPr>
            <w:tcW w:type="dxa" w:w="2551"/>
          </w:tcPr>
          <w:p>
            <w:pPr>
              <w:spacing w:after="0"/>
            </w:pPr>
            <w:r/>
            <w:r>
              <w:rPr>
                <w:b w:val="0"/>
                <w:i w:val="0"/>
                <w:sz w:val="17"/>
              </w:rPr>
              <w:t>An organisation that chooses not to communicate a significant aspect externally has failed to meet clause 7.4.3</w:t>
            </w:r>
          </w:p>
        </w:tc>
        <w:tc>
          <w:tcPr>
            <w:tcW w:type="dxa" w:w="1191"/>
          </w:tcPr>
          <w:p>
            <w:pPr>
              <w:spacing w:after="0"/>
            </w:pPr>
            <w:r/>
            <w:r>
              <w:rPr>
                <w:b w:val="0"/>
                <w:i w:val="0"/>
                <w:sz w:val="17"/>
              </w:rPr>
              <w:t>No</w:t>
            </w:r>
          </w:p>
        </w:tc>
        <w:tc>
          <w:tcPr>
            <w:tcW w:type="dxa" w:w="3515"/>
          </w:tcPr>
          <w:p>
            <w:pPr>
              <w:spacing w:after="0"/>
            </w:pPr>
            <w:r/>
            <w:r>
              <w:rPr>
                <w:b w:val="0"/>
                <w:i w:val="0"/>
                <w:sz w:val="17"/>
              </w:rPr>
              <w:t>Where no compliance obligation requires disclosure, choosing not to communicate an aspect externally is consistent with the clause, provided the choice follows the organisation’s established communication process</w:t>
            </w:r>
          </w:p>
        </w:tc>
        <w:tc>
          <w:tcPr>
            <w:tcW w:type="dxa" w:w="2381"/>
            <w:shd w:val="clear" w:color="auto" w:fill="FFFFFF"/>
          </w:tcPr>
          <w:p>
            <w:pPr>
              <w:spacing w:after="0"/>
            </w:pPr>
            <w:r/>
            <w:r>
              <w:rPr>
                <w:b w:val="0"/>
                <w:i w:val="0"/>
                <w:sz w:val="17"/>
              </w:rPr>
            </w:r>
          </w:p>
        </w:tc>
      </w:tr>
      <w:tr>
        <w:trPr>
          <w:cantSplit w:val="true"/>
        </w:trPr>
        <w:tc>
          <w:tcPr>
            <w:tcW w:type="dxa" w:w="2551"/>
            <w:shd w:val="clear" w:color="auto" w:fill="F3EFE6"/>
          </w:tcPr>
          <w:p>
            <w:pPr>
              <w:spacing w:after="0"/>
            </w:pPr>
            <w:r/>
            <w:r>
              <w:rPr>
                <w:b w:val="0"/>
                <w:i w:val="0"/>
                <w:sz w:val="17"/>
              </w:rPr>
              <w:t>Communication channels that work well for one direction can be assumed adequate for the other direction as well</w:t>
            </w:r>
          </w:p>
        </w:tc>
        <w:tc>
          <w:tcPr>
            <w:tcW w:type="dxa" w:w="1191"/>
            <w:shd w:val="clear" w:color="auto" w:fill="F3EFE6"/>
          </w:tcPr>
          <w:p>
            <w:pPr>
              <w:spacing w:after="0"/>
            </w:pPr>
            <w:r/>
            <w:r>
              <w:rPr>
                <w:b w:val="0"/>
                <w:i w:val="0"/>
                <w:sz w:val="17"/>
              </w:rPr>
              <w:t>No</w:t>
            </w:r>
          </w:p>
        </w:tc>
        <w:tc>
          <w:tcPr>
            <w:tcW w:type="dxa" w:w="3515"/>
            <w:shd w:val="clear" w:color="auto" w:fill="F3EFE6"/>
          </w:tcPr>
          <w:p>
            <w:pPr>
              <w:spacing w:after="0"/>
            </w:pPr>
            <w:r/>
            <w:r>
              <w:rPr>
                <w:b w:val="0"/>
                <w:i w:val="0"/>
                <w:sz w:val="17"/>
              </w:rPr>
              <w:t>The Lisbon case demonstrates directly that strength in downward communication carries no implication about the adequacy of upward communication, which the clause addresses as a distinct requirement</w:t>
            </w:r>
          </w:p>
        </w:tc>
        <w:tc>
          <w:tcPr>
            <w:tcW w:type="dxa" w:w="2381"/>
            <w:shd w:val="clear" w:color="auto" w:fill="FFFFFF"/>
          </w:tcPr>
          <w:p>
            <w:pPr>
              <w:spacing w:after="0"/>
            </w:pPr>
            <w:r/>
            <w:r>
              <w:rPr>
                <w:b w:val="0"/>
                <w:i w:val="0"/>
                <w:sz w:val="17"/>
              </w:rPr>
            </w:r>
          </w:p>
        </w:tc>
      </w:tr>
      <w:tr>
        <w:trPr>
          <w:cantSplit w:val="true"/>
        </w:trPr>
        <w:tc>
          <w:tcPr>
            <w:tcW w:type="dxa" w:w="2551"/>
          </w:tcPr>
          <w:p>
            <w:pPr>
              <w:spacing w:after="0"/>
            </w:pPr>
            <w:r/>
            <w:r>
              <w:rPr>
                <w:b w:val="0"/>
                <w:i w:val="0"/>
                <w:sz w:val="17"/>
              </w:rPr>
              <w:t>An employee’s repeated informal mentions of a problem, if a supervisor acknowledges hearing them, constitute a functioning communication process</w:t>
            </w:r>
          </w:p>
        </w:tc>
        <w:tc>
          <w:tcPr>
            <w:tcW w:type="dxa" w:w="1191"/>
          </w:tcPr>
          <w:p>
            <w:pPr>
              <w:spacing w:after="0"/>
            </w:pPr>
            <w:r/>
            <w:r>
              <w:rPr>
                <w:b w:val="0"/>
                <w:i w:val="0"/>
                <w:sz w:val="17"/>
              </w:rPr>
              <w:t>No</w:t>
            </w:r>
          </w:p>
        </w:tc>
        <w:tc>
          <w:tcPr>
            <w:tcW w:type="dxa" w:w="3515"/>
          </w:tcPr>
          <w:p>
            <w:pPr>
              <w:spacing w:after="0"/>
            </w:pPr>
            <w:r/>
            <w:r>
              <w:rPr>
                <w:b w:val="0"/>
                <w:i w:val="0"/>
                <w:sz w:val="17"/>
              </w:rPr>
              <w:t>Acknowledgement without any tracking, escalation, or resolution mechanism is not a functioning process in the sense the clause intends</w:t>
            </w:r>
          </w:p>
        </w:tc>
        <w:tc>
          <w:tcPr>
            <w:tcW w:type="dxa" w:w="2381"/>
            <w:shd w:val="clear" w:color="auto" w:fill="FFFFFF"/>
          </w:tcPr>
          <w:p>
            <w:pPr>
              <w:spacing w:after="0"/>
            </w:pPr>
            <w:r/>
            <w:r>
              <w:rPr>
                <w:b w:val="0"/>
                <w:i w:val="0"/>
                <w:sz w:val="17"/>
              </w:rPr>
            </w:r>
          </w:p>
        </w:tc>
      </w:tr>
    </w:tbl>
    <w:p>
      <w:pPr>
        <w:keepNext/>
        <w:spacing w:after="80" w:before="200"/>
      </w:pPr>
      <w:r>
        <w:rPr>
          <w:b/>
          <w:i w:val="0"/>
          <w:color w:val="9A7B2E"/>
          <w:sz w:val="26"/>
        </w:rPr>
        <w:t>A Checklist for the Next Communication Review</w:t>
      </w:r>
    </w:p>
    <w:p>
      <w:pPr>
        <w:keepNext/>
        <w:spacing w:after="80" w:before="0"/>
      </w:pPr>
      <w:r>
        <w:rPr>
          <w:b w:val="0"/>
          <w:i/>
          <w:color w:val="5A5A5A"/>
          <w:sz w:val="18"/>
        </w:rPr>
        <w:t>Answer each question with Yes, Partly, No or N.A., and name the evidence: a record, a date, a person, a place someone can go and look. An answer without evidence is an opinion.</w:t>
      </w:r>
    </w:p>
    <w:tbl>
      <w:tblPr>
        <w:tblW w:type="dxa" w:w="9639"/>
        <w:jc w:val="center"/>
        <w:tblLook w:firstColumn="1" w:firstRow="1" w:lastColumn="0" w:lastRow="0" w:noHBand="0" w:noVBand="1" w:val="04A0"/>
        <w:tblBorders>
          <w:top w:val="single" w:sz="4" w:space="0" w:color="C9BBA6"/>
          <w:left w:val="single" w:sz="4" w:space="0" w:color="C9BBA6"/>
          <w:bottom w:val="single" w:sz="4" w:space="0" w:color="C9BBA6"/>
          <w:right w:val="single" w:sz="4" w:space="0" w:color="C9BBA6"/>
          <w:insideH w:val="single" w:sz="4" w:space="0" w:color="C9BBA6"/>
          <w:insideV w:val="single" w:sz="4" w:space="0" w:color="C9BBA6"/>
        </w:tblBorders>
        <w:tblLayout w:type="fixed"/>
        <w:tblCellMar>
          <w:top w:w="60" w:type="dxa"/>
          <w:left w:w="90" w:type="dxa"/>
          <w:bottom w:w="60" w:type="dxa"/>
          <w:right w:w="90" w:type="dxa"/>
        </w:tblCellMar>
        <w:tblLayout w:type="fixed"/>
      </w:tblPr>
      <w:tblGrid>
        <w:gridCol w:w="3061"/>
        <w:gridCol w:w="2948"/>
        <w:gridCol w:w="1020"/>
        <w:gridCol w:w="2608"/>
      </w:tblGrid>
      <w:tr>
        <w:trPr>
          <w:tblHeader w:val="true"/>
        </w:trPr>
        <w:tc>
          <w:tcPr>
            <w:tcW w:type="dxa" w:w="3061"/>
            <w:shd w:val="clear" w:color="auto" w:fill="1B2A4A"/>
          </w:tcPr>
          <w:p>
            <w:pPr>
              <w:spacing w:after="0"/>
            </w:pPr>
            <w:r/>
            <w:r>
              <w:rPr>
                <w:b/>
                <w:i w:val="0"/>
                <w:color w:val="FFFFFF"/>
                <w:sz w:val="17"/>
              </w:rPr>
              <w:t>Question</w:t>
            </w:r>
          </w:p>
        </w:tc>
        <w:tc>
          <w:tcPr>
            <w:tcW w:type="dxa" w:w="2948"/>
            <w:shd w:val="clear" w:color="auto" w:fill="1B2A4A"/>
          </w:tcPr>
          <w:p>
            <w:pPr>
              <w:spacing w:after="0"/>
            </w:pPr>
            <w:r/>
            <w:r>
              <w:rPr>
                <w:b/>
                <w:i w:val="0"/>
                <w:color w:val="FFFFFF"/>
                <w:sz w:val="17"/>
              </w:rPr>
              <w:t>Why it matters</w:t>
            </w:r>
          </w:p>
        </w:tc>
        <w:tc>
          <w:tcPr>
            <w:tcW w:type="dxa" w:w="1020"/>
            <w:shd w:val="clear" w:color="auto" w:fill="1B2A4A"/>
          </w:tcPr>
          <w:p>
            <w:pPr>
              <w:spacing w:after="0"/>
            </w:pPr>
            <w:r/>
            <w:r>
              <w:rPr>
                <w:b/>
                <w:i w:val="0"/>
                <w:color w:val="FFFFFF"/>
                <w:sz w:val="17"/>
              </w:rPr>
              <w:t>Answer</w:t>
            </w:r>
          </w:p>
        </w:tc>
        <w:tc>
          <w:tcPr>
            <w:tcW w:type="dxa" w:w="2608"/>
            <w:shd w:val="clear" w:color="auto" w:fill="1B2A4A"/>
          </w:tcPr>
          <w:p>
            <w:pPr>
              <w:spacing w:after="0"/>
            </w:pPr>
            <w:r/>
            <w:r>
              <w:rPr>
                <w:b/>
                <w:i w:val="0"/>
                <w:color w:val="FFFFFF"/>
                <w:sz w:val="17"/>
              </w:rPr>
              <w:t>Evidence</w:t>
            </w:r>
          </w:p>
        </w:tc>
      </w:tr>
      <w:tr>
        <w:trPr>
          <w:cantSplit w:val="true"/>
          <w:trHeight w:val="680" w:hRule="atLeast"/>
        </w:trPr>
        <w:tc>
          <w:tcPr>
            <w:tcW w:type="dxa" w:w="3061"/>
            <w:shd w:val="clear" w:color="auto" w:fill="F3EFE6"/>
          </w:tcPr>
          <w:p>
            <w:pPr>
              <w:spacing w:after="0"/>
            </w:pPr>
            <w:r/>
            <w:r>
              <w:rPr>
                <w:b w:val="0"/>
                <w:i w:val="0"/>
                <w:sz w:val="17"/>
              </w:rPr>
              <w:t>Can a frontline employee describe, specifically, how to report an environmental observation so it reaches someone with authority to act?</w:t>
            </w:r>
          </w:p>
        </w:tc>
        <w:tc>
          <w:tcPr>
            <w:tcW w:type="dxa" w:w="2948"/>
            <w:shd w:val="clear" w:color="auto" w:fill="F3EFE6"/>
          </w:tcPr>
          <w:p>
            <w:pPr>
              <w:spacing w:after="0"/>
            </w:pPr>
            <w:r/>
            <w:r>
              <w:rPr>
                <w:b w:val="0"/>
                <w:i w:val="0"/>
                <w:sz w:val="17"/>
              </w:rPr>
              <w:t>The exact test that would have surfaced Lisbon’s gap before fourteen months passed</w:t>
            </w:r>
          </w:p>
        </w:tc>
        <w:tc>
          <w:tcPr>
            <w:tcW w:type="dxa" w:w="1020"/>
            <w:shd w:val="clear" w:color="auto" w:fill="FFFFFF"/>
          </w:tcPr>
          <w:p>
            <w:pPr>
              <w:spacing w:after="0"/>
            </w:pPr>
            <w:r/>
            <w:r>
              <w:rPr>
                <w:b w:val="0"/>
                <w:i w:val="0"/>
                <w:sz w:val="17"/>
              </w:rPr>
            </w:r>
          </w:p>
        </w:tc>
        <w:tc>
          <w:tcPr>
            <w:tcW w:type="dxa" w:w="2608"/>
            <w:shd w:val="clear" w:color="auto" w:fill="FFFFFF"/>
          </w:tcPr>
          <w:p>
            <w:pPr>
              <w:spacing w:after="0"/>
            </w:pPr>
            <w:r/>
            <w:r>
              <w:rPr>
                <w:b w:val="0"/>
                <w:i w:val="0"/>
                <w:sz w:val="17"/>
              </w:rPr>
            </w:r>
          </w:p>
        </w:tc>
      </w:tr>
      <w:tr>
        <w:trPr>
          <w:cantSplit w:val="true"/>
          <w:trHeight w:val="680" w:hRule="atLeast"/>
        </w:trPr>
        <w:tc>
          <w:tcPr>
            <w:tcW w:type="dxa" w:w="3061"/>
          </w:tcPr>
          <w:p>
            <w:pPr>
              <w:spacing w:after="0"/>
            </w:pPr>
            <w:r/>
            <w:r>
              <w:rPr>
                <w:b w:val="0"/>
                <w:i w:val="0"/>
                <w:sz w:val="17"/>
              </w:rPr>
              <w:t>Does our organisation track acknowledgement time for staff-raised observations as a standing metric?</w:t>
            </w:r>
          </w:p>
        </w:tc>
        <w:tc>
          <w:tcPr>
            <w:tcW w:type="dxa" w:w="2948"/>
          </w:tcPr>
          <w:p>
            <w:pPr>
              <w:spacing w:after="0"/>
            </w:pPr>
            <w:r/>
            <w:r>
              <w:rPr>
                <w:b w:val="0"/>
                <w:i w:val="0"/>
                <w:sz w:val="17"/>
              </w:rPr>
              <w:t>An untracked channel is indistinguishable from no channel at all once informal attention fades</w:t>
            </w:r>
          </w:p>
        </w:tc>
        <w:tc>
          <w:tcPr>
            <w:tcW w:type="dxa" w:w="1020"/>
            <w:shd w:val="clear" w:color="auto" w:fill="FFFFFF"/>
          </w:tcPr>
          <w:p>
            <w:pPr>
              <w:spacing w:after="0"/>
            </w:pPr>
            <w:r/>
            <w:r>
              <w:rPr>
                <w:b w:val="0"/>
                <w:i w:val="0"/>
                <w:sz w:val="17"/>
              </w:rPr>
            </w:r>
          </w:p>
        </w:tc>
        <w:tc>
          <w:tcPr>
            <w:tcW w:type="dxa" w:w="2608"/>
            <w:shd w:val="clear" w:color="auto" w:fill="FFFFFF"/>
          </w:tcPr>
          <w:p>
            <w:pPr>
              <w:spacing w:after="0"/>
            </w:pPr>
            <w:r/>
            <w:r>
              <w:rPr>
                <w:b w:val="0"/>
                <w:i w:val="0"/>
                <w:sz w:val="17"/>
              </w:rPr>
            </w:r>
          </w:p>
        </w:tc>
      </w:tr>
      <w:tr>
        <w:trPr>
          <w:cantSplit w:val="true"/>
          <w:trHeight w:val="680" w:hRule="atLeast"/>
        </w:trPr>
        <w:tc>
          <w:tcPr>
            <w:tcW w:type="dxa" w:w="3061"/>
            <w:shd w:val="clear" w:color="auto" w:fill="F3EFE6"/>
          </w:tcPr>
          <w:p>
            <w:pPr>
              <w:spacing w:after="0"/>
            </w:pPr>
            <w:r/>
            <w:r>
              <w:rPr>
                <w:b w:val="0"/>
                <w:i w:val="0"/>
                <w:sz w:val="17"/>
              </w:rPr>
              <w:t>Have we recorded which significant aspects, if any, we communicate externally, why, and who speaks for us?</w:t>
            </w:r>
          </w:p>
        </w:tc>
        <w:tc>
          <w:tcPr>
            <w:tcW w:type="dxa" w:w="2948"/>
            <w:shd w:val="clear" w:color="auto" w:fill="F3EFE6"/>
          </w:tcPr>
          <w:p>
            <w:pPr>
              <w:spacing w:after="0"/>
            </w:pPr>
            <w:r/>
            <w:r>
              <w:rPr>
                <w:b w:val="0"/>
                <w:i w:val="0"/>
                <w:sz w:val="17"/>
              </w:rPr>
              <w:t>Without a recorded choice it is hard to show that external communication follows the process and compliance obligations clause 7.4.3 relies on</w:t>
            </w:r>
          </w:p>
        </w:tc>
        <w:tc>
          <w:tcPr>
            <w:tcW w:type="dxa" w:w="1020"/>
            <w:shd w:val="clear" w:color="auto" w:fill="FFFFFF"/>
          </w:tcPr>
          <w:p>
            <w:pPr>
              <w:spacing w:after="0"/>
            </w:pPr>
            <w:r/>
            <w:r>
              <w:rPr>
                <w:b w:val="0"/>
                <w:i w:val="0"/>
                <w:sz w:val="17"/>
              </w:rPr>
            </w:r>
          </w:p>
        </w:tc>
        <w:tc>
          <w:tcPr>
            <w:tcW w:type="dxa" w:w="2608"/>
            <w:shd w:val="clear" w:color="auto" w:fill="FFFFFF"/>
          </w:tcPr>
          <w:p>
            <w:pPr>
              <w:spacing w:after="0"/>
            </w:pPr>
            <w:r/>
            <w:r>
              <w:rPr>
                <w:b w:val="0"/>
                <w:i w:val="0"/>
                <w:sz w:val="17"/>
              </w:rPr>
            </w:r>
          </w:p>
        </w:tc>
      </w:tr>
      <w:tr>
        <w:trPr>
          <w:cantSplit w:val="true"/>
          <w:trHeight w:val="680" w:hRule="atLeast"/>
        </w:trPr>
        <w:tc>
          <w:tcPr>
            <w:tcW w:type="dxa" w:w="3061"/>
          </w:tcPr>
          <w:p>
            <w:pPr>
              <w:spacing w:after="0"/>
            </w:pPr>
            <w:r/>
            <w:r>
              <w:rPr>
                <w:b w:val="0"/>
                <w:i w:val="0"/>
                <w:sz w:val="17"/>
              </w:rPr>
              <w:t>Does our upward communication mechanism reach seasonal, contracted, and multilingual staff as effectively as permanent staff in the primary operating language?</w:t>
            </w:r>
          </w:p>
        </w:tc>
        <w:tc>
          <w:tcPr>
            <w:tcW w:type="dxa" w:w="2948"/>
          </w:tcPr>
          <w:p>
            <w:pPr>
              <w:spacing w:after="0"/>
            </w:pPr>
            <w:r/>
            <w:r>
              <w:rPr>
                <w:b w:val="0"/>
                <w:i w:val="0"/>
                <w:sz w:val="17"/>
              </w:rPr>
              <w:t>A channel that only reaches part of the workforce leaves the same structural gap for everyone it does not reach</w:t>
            </w:r>
          </w:p>
        </w:tc>
        <w:tc>
          <w:tcPr>
            <w:tcW w:type="dxa" w:w="1020"/>
            <w:shd w:val="clear" w:color="auto" w:fill="FFFFFF"/>
          </w:tcPr>
          <w:p>
            <w:pPr>
              <w:spacing w:after="0"/>
            </w:pPr>
            <w:r/>
            <w:r>
              <w:rPr>
                <w:b w:val="0"/>
                <w:i w:val="0"/>
                <w:sz w:val="17"/>
              </w:rPr>
            </w:r>
          </w:p>
        </w:tc>
        <w:tc>
          <w:tcPr>
            <w:tcW w:type="dxa" w:w="2608"/>
            <w:shd w:val="clear" w:color="auto" w:fill="FFFFFF"/>
          </w:tcPr>
          <w:p>
            <w:pPr>
              <w:spacing w:after="0"/>
            </w:pPr>
            <w:r/>
            <w:r>
              <w:rPr>
                <w:b w:val="0"/>
                <w:i w:val="0"/>
                <w:sz w:val="17"/>
              </w:rPr>
            </w:r>
          </w:p>
        </w:tc>
      </w:tr>
      <w:tr>
        <w:trPr>
          <w:cantSplit w:val="true"/>
          <w:trHeight w:val="680" w:hRule="atLeast"/>
        </w:trPr>
        <w:tc>
          <w:tcPr>
            <w:tcW w:type="dxa" w:w="3061"/>
            <w:shd w:val="clear" w:color="auto" w:fill="F3EFE6"/>
          </w:tcPr>
          <w:p>
            <w:pPr>
              <w:spacing w:after="0"/>
            </w:pPr>
            <w:r/>
            <w:r>
              <w:rPr>
                <w:b w:val="0"/>
                <w:i w:val="0"/>
                <w:sz w:val="17"/>
              </w:rPr>
              <w:t>Do we publicise examples of acted-upon staff observations, or does the workforce have no evidence the channel actually works?</w:t>
            </w:r>
          </w:p>
        </w:tc>
        <w:tc>
          <w:tcPr>
            <w:tcW w:type="dxa" w:w="2948"/>
            <w:shd w:val="clear" w:color="auto" w:fill="F3EFE6"/>
          </w:tcPr>
          <w:p>
            <w:pPr>
              <w:spacing w:after="0"/>
            </w:pPr>
            <w:r/>
            <w:r>
              <w:rPr>
                <w:b w:val="0"/>
                <w:i w:val="0"/>
                <w:sz w:val="17"/>
              </w:rPr>
              <w:t>Visible proof of function is what converts a new mechanism from a policy announcement into something staff actually trust and use</w:t>
            </w:r>
          </w:p>
        </w:tc>
        <w:tc>
          <w:tcPr>
            <w:tcW w:type="dxa" w:w="1020"/>
            <w:shd w:val="clear" w:color="auto" w:fill="FFFFFF"/>
          </w:tcPr>
          <w:p>
            <w:pPr>
              <w:spacing w:after="0"/>
            </w:pPr>
            <w:r/>
            <w:r>
              <w:rPr>
                <w:b w:val="0"/>
                <w:i w:val="0"/>
                <w:sz w:val="17"/>
              </w:rPr>
            </w:r>
          </w:p>
        </w:tc>
        <w:tc>
          <w:tcPr>
            <w:tcW w:type="dxa" w:w="2608"/>
            <w:shd w:val="clear" w:color="auto" w:fill="FFFFFF"/>
          </w:tcPr>
          <w:p>
            <w:pPr>
              <w:spacing w:after="0"/>
            </w:pPr>
            <w:r/>
            <w:r>
              <w:rPr>
                <w:b w:val="0"/>
                <w:i w:val="0"/>
                <w:sz w:val="17"/>
              </w:rPr>
            </w:r>
          </w:p>
        </w:tc>
      </w:tr>
    </w:tbl>
    <w:p>
      <w:pPr>
        <w:keepNext/>
        <w:spacing w:after="80" w:before="200"/>
      </w:pPr>
      <w:r>
        <w:rPr>
          <w:b/>
          <w:i w:val="0"/>
          <w:color w:val="9A7B2E"/>
          <w:sz w:val="26"/>
        </w:rPr>
        <w:t>Common Mistakes — Self-Check</w:t>
      </w:r>
    </w:p>
    <w:p>
      <w:pPr>
        <w:keepNext/>
        <w:spacing w:after="80" w:before="0"/>
      </w:pPr>
      <w:r>
        <w:rPr>
          <w:b w:val="0"/>
          <w:i/>
          <w:color w:val="5A5A5A"/>
          <w:sz w:val="18"/>
        </w:rPr>
        <w:t>Tick every mistake you recognise in your own property today, and write next to it where you saw it. A ticked box is not a nonconformity; it is a place to look before an auditor or an incident does.</w:t>
      </w:r>
    </w:p>
    <w:tbl>
      <w:tblPr>
        <w:tblW w:type="dxa" w:w="9639"/>
        <w:jc w:val="center"/>
        <w:tblLook w:firstColumn="1" w:firstRow="1" w:lastColumn="0" w:lastRow="0" w:noHBand="0" w:noVBand="1" w:val="04A0"/>
        <w:tblBorders>
          <w:top w:val="single" w:sz="4" w:space="0" w:color="C9BBA6"/>
          <w:left w:val="single" w:sz="4" w:space="0" w:color="C9BBA6"/>
          <w:bottom w:val="single" w:sz="4" w:space="0" w:color="C9BBA6"/>
          <w:right w:val="single" w:sz="4" w:space="0" w:color="C9BBA6"/>
          <w:insideH w:val="single" w:sz="4" w:space="0" w:color="C9BBA6"/>
          <w:insideV w:val="single" w:sz="4" w:space="0" w:color="C9BBA6"/>
        </w:tblBorders>
        <w:tblLayout w:type="fixed"/>
        <w:tblCellMar>
          <w:top w:w="60" w:type="dxa"/>
          <w:left w:w="90" w:type="dxa"/>
          <w:bottom w:w="60" w:type="dxa"/>
          <w:right w:w="90" w:type="dxa"/>
        </w:tblCellMar>
        <w:tblLayout w:type="fixed"/>
      </w:tblPr>
      <w:tblGrid>
        <w:gridCol w:w="510"/>
        <w:gridCol w:w="5726"/>
        <w:gridCol w:w="3402"/>
      </w:tblGrid>
      <w:tr>
        <w:trPr>
          <w:tblHeader w:val="true"/>
        </w:trPr>
        <w:tc>
          <w:tcPr>
            <w:tcW w:type="dxa" w:w="510"/>
            <w:shd w:val="clear" w:color="auto" w:fill="1B2A4A"/>
          </w:tcPr>
          <w:p>
            <w:pPr>
              <w:spacing w:after="0"/>
            </w:pPr>
            <w:r/>
            <w:r>
              <w:rPr>
                <w:b/>
                <w:i w:val="0"/>
                <w:color w:val="FFFFFF"/>
                <w:sz w:val="17"/>
              </w:rPr>
              <w:t>☐</w:t>
            </w:r>
          </w:p>
        </w:tc>
        <w:tc>
          <w:tcPr>
            <w:tcW w:type="dxa" w:w="5726"/>
            <w:shd w:val="clear" w:color="auto" w:fill="1B2A4A"/>
          </w:tcPr>
          <w:p>
            <w:pPr>
              <w:spacing w:after="0"/>
            </w:pPr>
            <w:r/>
            <w:r>
              <w:rPr>
                <w:b/>
                <w:i w:val="0"/>
                <w:color w:val="FFFFFF"/>
                <w:sz w:val="17"/>
              </w:rPr>
              <w:t>Mistake (from the book)</w:t>
            </w:r>
          </w:p>
        </w:tc>
        <w:tc>
          <w:tcPr>
            <w:tcW w:type="dxa" w:w="3402"/>
            <w:shd w:val="clear" w:color="auto" w:fill="1B2A4A"/>
          </w:tcPr>
          <w:p>
            <w:pPr>
              <w:spacing w:after="0"/>
            </w:pPr>
            <w:r/>
            <w:r>
              <w:rPr>
                <w:b/>
                <w:i w:val="0"/>
                <w:color w:val="FFFFFF"/>
                <w:sz w:val="17"/>
              </w:rPr>
              <w:t>Where we see it</w:t>
            </w:r>
          </w:p>
        </w:tc>
      </w:tr>
      <w:tr>
        <w:trPr>
          <w:cantSplit w:val="true"/>
        </w:trPr>
        <w:tc>
          <w:tcPr>
            <w:tcW w:type="dxa" w:w="510"/>
            <w:shd w:val="clear" w:color="auto" w:fill="F3EFE6"/>
          </w:tcPr>
          <w:p>
            <w:pPr>
              <w:spacing w:after="0"/>
              <w:jc w:val="center"/>
            </w:pPr>
            <w:r>
              <w:rPr>
                <w:sz w:val="24"/>
              </w:rPr>
            </w:r>
            <w:r>
              <w:rPr>
                <w:b w:val="0"/>
                <w:i w:val="0"/>
                <w:sz w:val="17"/>
              </w:rPr>
              <w:t>☐</w:t>
            </w:r>
          </w:p>
        </w:tc>
        <w:tc>
          <w:tcPr>
            <w:tcW w:type="dxa" w:w="5726"/>
            <w:shd w:val="clear" w:color="auto" w:fill="F3EFE6"/>
          </w:tcPr>
          <w:p>
            <w:pPr>
              <w:spacing w:after="0"/>
            </w:pPr>
            <w:r/>
            <w:r>
              <w:rPr>
                <w:b w:val="0"/>
                <w:i w:val="0"/>
                <w:sz w:val="17"/>
              </w:rPr>
              <w:t>Building internal communication entirely around downward broadcasting, with no equivalent upward mechanism.</w:t>
            </w:r>
          </w:p>
        </w:tc>
        <w:tc>
          <w:tcPr>
            <w:tcW w:type="dxa" w:w="3402"/>
            <w:shd w:val="clear" w:color="auto" w:fill="FFFFFF"/>
          </w:tcPr>
          <w:p>
            <w:pPr>
              <w:spacing w:after="0"/>
            </w:pPr>
            <w:r/>
            <w:r>
              <w:rPr>
                <w:b w:val="0"/>
                <w:i w:val="0"/>
                <w:sz w:val="17"/>
              </w:rPr>
            </w:r>
          </w:p>
        </w:tc>
      </w:tr>
      <w:tr>
        <w:trPr>
          <w:cantSplit w:val="true"/>
        </w:trPr>
        <w:tc>
          <w:tcPr>
            <w:tcW w:type="dxa" w:w="510"/>
          </w:tcPr>
          <w:p>
            <w:pPr>
              <w:spacing w:after="0"/>
              <w:jc w:val="center"/>
            </w:pPr>
            <w:r>
              <w:rPr>
                <w:sz w:val="24"/>
              </w:rPr>
            </w:r>
            <w:r>
              <w:rPr>
                <w:b w:val="0"/>
                <w:i w:val="0"/>
                <w:sz w:val="17"/>
              </w:rPr>
              <w:t>☐</w:t>
            </w:r>
          </w:p>
        </w:tc>
        <w:tc>
          <w:tcPr>
            <w:tcW w:type="dxa" w:w="5726"/>
          </w:tcPr>
          <w:p>
            <w:pPr>
              <w:spacing w:after="0"/>
            </w:pPr>
            <w:r/>
            <w:r>
              <w:rPr>
                <w:b w:val="0"/>
                <w:i w:val="0"/>
                <w:sz w:val="17"/>
              </w:rPr>
              <w:t>Treating informal verbal acknowledgement by a supervisor as equivalent to a functioning communication process.</w:t>
            </w:r>
          </w:p>
        </w:tc>
        <w:tc>
          <w:tcPr>
            <w:tcW w:type="dxa" w:w="3402"/>
            <w:shd w:val="clear" w:color="auto" w:fill="FFFFFF"/>
          </w:tcPr>
          <w:p>
            <w:pPr>
              <w:spacing w:after="0"/>
            </w:pPr>
            <w:r/>
            <w:r>
              <w:rPr>
                <w:b w:val="0"/>
                <w:i w:val="0"/>
                <w:sz w:val="17"/>
              </w:rPr>
            </w:r>
          </w:p>
        </w:tc>
      </w:tr>
      <w:tr>
        <w:trPr>
          <w:cantSplit w:val="true"/>
        </w:trPr>
        <w:tc>
          <w:tcPr>
            <w:tcW w:type="dxa" w:w="510"/>
            <w:shd w:val="clear" w:color="auto" w:fill="F3EFE6"/>
          </w:tcPr>
          <w:p>
            <w:pPr>
              <w:spacing w:after="0"/>
              <w:jc w:val="center"/>
            </w:pPr>
            <w:r>
              <w:rPr>
                <w:sz w:val="24"/>
              </w:rPr>
            </w:r>
            <w:r>
              <w:rPr>
                <w:b w:val="0"/>
                <w:i w:val="0"/>
                <w:sz w:val="17"/>
              </w:rPr>
              <w:t>☐</w:t>
            </w:r>
          </w:p>
        </w:tc>
        <w:tc>
          <w:tcPr>
            <w:tcW w:type="dxa" w:w="5726"/>
            <w:shd w:val="clear" w:color="auto" w:fill="F3EFE6"/>
          </w:tcPr>
          <w:p>
            <w:pPr>
              <w:spacing w:after="0"/>
            </w:pPr>
            <w:r/>
            <w:r>
              <w:rPr>
                <w:b w:val="0"/>
                <w:i w:val="0"/>
                <w:sz w:val="17"/>
              </w:rPr>
              <w:t>Assuming strong performance in one communication direction implies adequate performance in the other.</w:t>
            </w:r>
          </w:p>
        </w:tc>
        <w:tc>
          <w:tcPr>
            <w:tcW w:type="dxa" w:w="3402"/>
            <w:shd w:val="clear" w:color="auto" w:fill="FFFFFF"/>
          </w:tcPr>
          <w:p>
            <w:pPr>
              <w:spacing w:after="0"/>
            </w:pPr>
            <w:r/>
            <w:r>
              <w:rPr>
                <w:b w:val="0"/>
                <w:i w:val="0"/>
                <w:sz w:val="17"/>
              </w:rPr>
            </w:r>
          </w:p>
        </w:tc>
      </w:tr>
      <w:tr>
        <w:trPr>
          <w:cantSplit w:val="true"/>
        </w:trPr>
        <w:tc>
          <w:tcPr>
            <w:tcW w:type="dxa" w:w="510"/>
          </w:tcPr>
          <w:p>
            <w:pPr>
              <w:spacing w:after="0"/>
              <w:jc w:val="center"/>
            </w:pPr>
            <w:r>
              <w:rPr>
                <w:sz w:val="24"/>
              </w:rPr>
            </w:r>
            <w:r>
              <w:rPr>
                <w:b w:val="0"/>
                <w:i w:val="0"/>
                <w:sz w:val="17"/>
              </w:rPr>
              <w:t>☐</w:t>
            </w:r>
          </w:p>
        </w:tc>
        <w:tc>
          <w:tcPr>
            <w:tcW w:type="dxa" w:w="5726"/>
          </w:tcPr>
          <w:p>
            <w:pPr>
              <w:spacing w:after="0"/>
            </w:pPr>
            <w:r/>
            <w:r>
              <w:rPr>
                <w:b w:val="0"/>
                <w:i w:val="0"/>
                <w:sz w:val="17"/>
              </w:rPr>
              <w:t>Failing to track or provide visible status for staff-raised observations, leaving employees uncertain whether raising a concern accomplished anything.</w:t>
            </w:r>
          </w:p>
        </w:tc>
        <w:tc>
          <w:tcPr>
            <w:tcW w:type="dxa" w:w="3402"/>
            <w:shd w:val="clear" w:color="auto" w:fill="FFFFFF"/>
          </w:tcPr>
          <w:p>
            <w:pPr>
              <w:spacing w:after="0"/>
            </w:pPr>
            <w:r/>
            <w:r>
              <w:rPr>
                <w:b w:val="0"/>
                <w:i w:val="0"/>
                <w:sz w:val="17"/>
              </w:rPr>
            </w:r>
          </w:p>
        </w:tc>
      </w:tr>
      <w:tr>
        <w:trPr>
          <w:cantSplit w:val="true"/>
        </w:trPr>
        <w:tc>
          <w:tcPr>
            <w:tcW w:type="dxa" w:w="510"/>
            <w:shd w:val="clear" w:color="auto" w:fill="F3EFE6"/>
          </w:tcPr>
          <w:p>
            <w:pPr>
              <w:spacing w:after="0"/>
              <w:jc w:val="center"/>
            </w:pPr>
            <w:r>
              <w:rPr>
                <w:sz w:val="24"/>
              </w:rPr>
            </w:r>
            <w:r>
              <w:rPr>
                <w:b w:val="0"/>
                <w:i w:val="0"/>
                <w:sz w:val="17"/>
              </w:rPr>
              <w:t>☐</w:t>
            </w:r>
          </w:p>
        </w:tc>
        <w:tc>
          <w:tcPr>
            <w:tcW w:type="dxa" w:w="5726"/>
            <w:shd w:val="clear" w:color="auto" w:fill="F3EFE6"/>
          </w:tcPr>
          <w:p>
            <w:pPr>
              <w:spacing w:after="0"/>
            </w:pPr>
            <w:r/>
            <w:r>
              <w:rPr>
                <w:b w:val="0"/>
                <w:i w:val="0"/>
                <w:sz w:val="17"/>
              </w:rPr>
              <w:t>Believing clause 7.4.3 requires full public disclosure of every significant environmental aspect, rather than external communication planned through the organisation’s own process and its compliance obligations.</w:t>
            </w:r>
          </w:p>
        </w:tc>
        <w:tc>
          <w:tcPr>
            <w:tcW w:type="dxa" w:w="3402"/>
            <w:shd w:val="clear" w:color="auto" w:fill="FFFFFF"/>
          </w:tcPr>
          <w:p>
            <w:pPr>
              <w:spacing w:after="0"/>
            </w:pPr>
            <w:r/>
            <w:r>
              <w:rPr>
                <w:b w:val="0"/>
                <w:i w:val="0"/>
                <w:sz w:val="17"/>
              </w:rPr>
            </w:r>
          </w:p>
        </w:tc>
      </w:tr>
      <w:tr>
        <w:trPr>
          <w:cantSplit w:val="true"/>
        </w:trPr>
        <w:tc>
          <w:tcPr>
            <w:tcW w:type="dxa" w:w="510"/>
          </w:tcPr>
          <w:p>
            <w:pPr>
              <w:spacing w:after="0"/>
              <w:jc w:val="center"/>
            </w:pPr>
            <w:r>
              <w:rPr>
                <w:sz w:val="24"/>
              </w:rPr>
            </w:r>
            <w:r>
              <w:rPr>
                <w:b w:val="0"/>
                <w:i w:val="0"/>
                <w:sz w:val="17"/>
              </w:rPr>
              <w:t>☐</w:t>
            </w:r>
          </w:p>
        </w:tc>
        <w:tc>
          <w:tcPr>
            <w:tcW w:type="dxa" w:w="5726"/>
          </w:tcPr>
          <w:p>
            <w:pPr>
              <w:spacing w:after="0"/>
            </w:pPr>
            <w:r/>
            <w:r>
              <w:rPr>
                <w:b w:val="0"/>
                <w:i w:val="0"/>
                <w:sz w:val="17"/>
              </w:rPr>
              <w:t>Responding to a discovered gap with a general reminder rather than a structural change to how observations are captured and tracked.</w:t>
            </w:r>
          </w:p>
        </w:tc>
        <w:tc>
          <w:tcPr>
            <w:tcW w:type="dxa" w:w="3402"/>
            <w:shd w:val="clear" w:color="auto" w:fill="FFFFFF"/>
          </w:tcPr>
          <w:p>
            <w:pPr>
              <w:spacing w:after="0"/>
            </w:pPr>
            <w:r/>
            <w:r>
              <w:rPr>
                <w:b w:val="0"/>
                <w:i w:val="0"/>
                <w:sz w:val="17"/>
              </w:rPr>
            </w:r>
          </w:p>
        </w:tc>
      </w:tr>
      <w:tr>
        <w:trPr>
          <w:cantSplit w:val="true"/>
        </w:trPr>
        <w:tc>
          <w:tcPr>
            <w:tcW w:type="dxa" w:w="510"/>
            <w:shd w:val="clear" w:color="auto" w:fill="F3EFE6"/>
          </w:tcPr>
          <w:p>
            <w:pPr>
              <w:spacing w:after="0"/>
              <w:jc w:val="center"/>
            </w:pPr>
            <w:r>
              <w:rPr>
                <w:sz w:val="24"/>
              </w:rPr>
            </w:r>
            <w:r>
              <w:rPr>
                <w:b w:val="0"/>
                <w:i w:val="0"/>
                <w:sz w:val="17"/>
              </w:rPr>
              <w:t>☐</w:t>
            </w:r>
          </w:p>
        </w:tc>
        <w:tc>
          <w:tcPr>
            <w:tcW w:type="dxa" w:w="5726"/>
            <w:shd w:val="clear" w:color="auto" w:fill="F3EFE6"/>
          </w:tcPr>
          <w:p>
            <w:pPr>
              <w:spacing w:after="0"/>
            </w:pPr>
            <w:r/>
            <w:r>
              <w:rPr>
                <w:b w:val="0"/>
                <w:i w:val="0"/>
                <w:sz w:val="17"/>
              </w:rPr>
              <w:t>Excluding seasonal, contracted, or agency staff from whatever upward communication mechanism does exist.</w:t>
            </w:r>
          </w:p>
        </w:tc>
        <w:tc>
          <w:tcPr>
            <w:tcW w:type="dxa" w:w="3402"/>
            <w:shd w:val="clear" w:color="auto" w:fill="FFFFFF"/>
          </w:tcPr>
          <w:p>
            <w:pPr>
              <w:spacing w:after="0"/>
            </w:pPr>
            <w:r/>
            <w:r>
              <w:rPr>
                <w:b w:val="0"/>
                <w:i w:val="0"/>
                <w:sz w:val="17"/>
              </w:rPr>
            </w:r>
          </w:p>
        </w:tc>
      </w:tr>
      <w:tr>
        <w:trPr>
          <w:cantSplit w:val="true"/>
        </w:trPr>
        <w:tc>
          <w:tcPr>
            <w:tcW w:type="dxa" w:w="510"/>
          </w:tcPr>
          <w:p>
            <w:pPr>
              <w:spacing w:after="0"/>
              <w:jc w:val="center"/>
            </w:pPr>
            <w:r>
              <w:rPr>
                <w:sz w:val="24"/>
              </w:rPr>
            </w:r>
            <w:r>
              <w:rPr>
                <w:b w:val="0"/>
                <w:i w:val="0"/>
                <w:sz w:val="17"/>
              </w:rPr>
              <w:t>☐</w:t>
            </w:r>
          </w:p>
        </w:tc>
        <w:tc>
          <w:tcPr>
            <w:tcW w:type="dxa" w:w="5726"/>
          </w:tcPr>
          <w:p>
            <w:pPr>
              <w:spacing w:after="0"/>
            </w:pPr>
            <w:r/>
            <w:r>
              <w:rPr>
                <w:b w:val="0"/>
                <w:i w:val="0"/>
                <w:sz w:val="17"/>
              </w:rPr>
              <w:t>Providing a reporting mechanism only in a property’s primary operating language, excluding staff who communicate more comfortably in another.</w:t>
            </w:r>
          </w:p>
        </w:tc>
        <w:tc>
          <w:tcPr>
            <w:tcW w:type="dxa" w:w="3402"/>
            <w:shd w:val="clear" w:color="auto" w:fill="FFFFFF"/>
          </w:tcPr>
          <w:p>
            <w:pPr>
              <w:spacing w:after="0"/>
            </w:pPr>
            <w:r/>
            <w:r>
              <w:rPr>
                <w:b w:val="0"/>
                <w:i w:val="0"/>
                <w:sz w:val="17"/>
              </w:rPr>
            </w:r>
          </w:p>
        </w:tc>
      </w:tr>
      <w:tr>
        <w:trPr>
          <w:cantSplit w:val="true"/>
        </w:trPr>
        <w:tc>
          <w:tcPr>
            <w:tcW w:type="dxa" w:w="510"/>
            <w:shd w:val="clear" w:color="auto" w:fill="F3EFE6"/>
          </w:tcPr>
          <w:p>
            <w:pPr>
              <w:spacing w:after="0"/>
              <w:jc w:val="center"/>
            </w:pPr>
            <w:r>
              <w:rPr>
                <w:sz w:val="24"/>
              </w:rPr>
            </w:r>
            <w:r>
              <w:rPr>
                <w:b w:val="0"/>
                <w:i w:val="0"/>
                <w:sz w:val="17"/>
              </w:rPr>
              <w:t>☐</w:t>
            </w:r>
          </w:p>
        </w:tc>
        <w:tc>
          <w:tcPr>
            <w:tcW w:type="dxa" w:w="5726"/>
            <w:shd w:val="clear" w:color="auto" w:fill="F3EFE6"/>
          </w:tcPr>
          <w:p>
            <w:pPr>
              <w:spacing w:after="0"/>
            </w:pPr>
            <w:r/>
            <w:r>
              <w:rPr>
                <w:b w:val="0"/>
                <w:i w:val="0"/>
                <w:sz w:val="17"/>
              </w:rPr>
              <w:t>Failing to publicise examples of acted-upon staff observations, leaving the workforce uncertain whether a new channel genuinely functions.</w:t>
            </w:r>
          </w:p>
        </w:tc>
        <w:tc>
          <w:tcPr>
            <w:tcW w:type="dxa" w:w="3402"/>
            <w:shd w:val="clear" w:color="auto" w:fill="FFFFFF"/>
          </w:tcPr>
          <w:p>
            <w:pPr>
              <w:spacing w:after="0"/>
            </w:pPr>
            <w:r/>
            <w:r>
              <w:rPr>
                <w:b w:val="0"/>
                <w:i w:val="0"/>
                <w:sz w:val="17"/>
              </w:rPr>
            </w:r>
          </w:p>
        </w:tc>
      </w:tr>
      <w:tr>
        <w:trPr>
          <w:cantSplit w:val="true"/>
        </w:trPr>
        <w:tc>
          <w:tcPr>
            <w:tcW w:type="dxa" w:w="510"/>
          </w:tcPr>
          <w:p>
            <w:pPr>
              <w:spacing w:after="0"/>
              <w:jc w:val="center"/>
            </w:pPr>
            <w:r>
              <w:rPr>
                <w:sz w:val="24"/>
              </w:rPr>
            </w:r>
            <w:r>
              <w:rPr>
                <w:b w:val="0"/>
                <w:i w:val="0"/>
                <w:sz w:val="17"/>
              </w:rPr>
              <w:t>☐</w:t>
            </w:r>
          </w:p>
        </w:tc>
        <w:tc>
          <w:tcPr>
            <w:tcW w:type="dxa" w:w="5726"/>
          </w:tcPr>
          <w:p>
            <w:pPr>
              <w:spacing w:after="0"/>
            </w:pPr>
            <w:r/>
            <w:r>
              <w:rPr>
                <w:b w:val="0"/>
                <w:i w:val="0"/>
                <w:sz w:val="17"/>
              </w:rPr>
              <w:t>Measuring communication effectiveness only through staff satisfaction with what they receive, never through whether what they contribute is captured and acted upon.</w:t>
            </w:r>
          </w:p>
        </w:tc>
        <w:tc>
          <w:tcPr>
            <w:tcW w:type="dxa" w:w="3402"/>
            <w:shd w:val="clear" w:color="auto" w:fill="FFFFFF"/>
          </w:tcPr>
          <w:p>
            <w:pPr>
              <w:spacing w:after="0"/>
            </w:pPr>
            <w:r/>
            <w:r>
              <w:rPr>
                <w:b w:val="0"/>
                <w:i w:val="0"/>
                <w:sz w:val="17"/>
              </w:rPr>
            </w:r>
          </w:p>
        </w:tc>
      </w:tr>
    </w:tbl>
    <w:p>
      <w:pPr>
        <w:keepNext/>
        <w:spacing w:after="80" w:before="200"/>
      </w:pPr>
      <w:r>
        <w:rPr>
          <w:b/>
          <w:i w:val="0"/>
          <w:color w:val="9A7B2E"/>
          <w:sz w:val="26"/>
        </w:rPr>
        <w:t>Operative Synthesis — Action Plan</w:t>
      </w:r>
    </w:p>
    <w:p>
      <w:pPr>
        <w:keepNext/>
        <w:spacing w:after="80" w:before="0"/>
      </w:pPr>
      <w:r>
        <w:rPr>
          <w:b w:val="0"/>
          <w:i/>
          <w:color w:val="5A5A5A"/>
          <w:sz w:val="18"/>
        </w:rPr>
        <w:t>The three horizons and their actions are copied from the book. Owner and due date are yours to fill: an action without both is a wish.</w:t>
      </w:r>
    </w:p>
    <w:tbl>
      <w:tblPr>
        <w:tblW w:type="dxa" w:w="9639"/>
        <w:jc w:val="center"/>
        <w:tblLook w:firstColumn="1" w:firstRow="1" w:lastColumn="0" w:lastRow="0" w:noHBand="0" w:noVBand="1" w:val="04A0"/>
        <w:tblBorders>
          <w:top w:val="single" w:sz="4" w:space="0" w:color="C9BBA6"/>
          <w:left w:val="single" w:sz="4" w:space="0" w:color="C9BBA6"/>
          <w:bottom w:val="single" w:sz="4" w:space="0" w:color="C9BBA6"/>
          <w:right w:val="single" w:sz="4" w:space="0" w:color="C9BBA6"/>
          <w:insideH w:val="single" w:sz="4" w:space="0" w:color="C9BBA6"/>
          <w:insideV w:val="single" w:sz="4" w:space="0" w:color="C9BBA6"/>
        </w:tblBorders>
        <w:tblLayout w:type="fixed"/>
        <w:tblCellMar>
          <w:top w:w="60" w:type="dxa"/>
          <w:left w:w="90" w:type="dxa"/>
          <w:bottom w:w="60" w:type="dxa"/>
          <w:right w:w="90" w:type="dxa"/>
        </w:tblCellMar>
        <w:tblLayout w:type="fixed"/>
      </w:tblPr>
      <w:tblGrid>
        <w:gridCol w:w="1587"/>
        <w:gridCol w:w="5329"/>
        <w:gridCol w:w="1474"/>
        <w:gridCol w:w="1247"/>
      </w:tblGrid>
      <w:tr>
        <w:trPr>
          <w:tblHeader w:val="true"/>
        </w:trPr>
        <w:tc>
          <w:tcPr>
            <w:tcW w:type="dxa" w:w="1587"/>
            <w:shd w:val="clear" w:color="auto" w:fill="1B2A4A"/>
          </w:tcPr>
          <w:p>
            <w:pPr>
              <w:spacing w:after="0"/>
            </w:pPr>
            <w:r/>
            <w:r>
              <w:rPr>
                <w:b/>
                <w:i w:val="0"/>
                <w:color w:val="FFFFFF"/>
                <w:sz w:val="17"/>
              </w:rPr>
              <w:t>Horizon</w:t>
            </w:r>
          </w:p>
        </w:tc>
        <w:tc>
          <w:tcPr>
            <w:tcW w:type="dxa" w:w="5329"/>
            <w:shd w:val="clear" w:color="auto" w:fill="1B2A4A"/>
          </w:tcPr>
          <w:p>
            <w:pPr>
              <w:spacing w:after="0"/>
            </w:pPr>
            <w:r/>
            <w:r>
              <w:rPr>
                <w:b/>
                <w:i w:val="0"/>
                <w:color w:val="FFFFFF"/>
                <w:sz w:val="17"/>
              </w:rPr>
              <w:t>Action from the book</w:t>
            </w:r>
          </w:p>
        </w:tc>
        <w:tc>
          <w:tcPr>
            <w:tcW w:type="dxa" w:w="1474"/>
            <w:shd w:val="clear" w:color="auto" w:fill="1B2A4A"/>
          </w:tcPr>
          <w:p>
            <w:pPr>
              <w:spacing w:after="0"/>
            </w:pPr>
            <w:r/>
            <w:r>
              <w:rPr>
                <w:b/>
                <w:i w:val="0"/>
                <w:color w:val="FFFFFF"/>
                <w:sz w:val="17"/>
              </w:rPr>
              <w:t>Owner</w:t>
            </w:r>
          </w:p>
        </w:tc>
        <w:tc>
          <w:tcPr>
            <w:tcW w:type="dxa" w:w="1247"/>
            <w:shd w:val="clear" w:color="auto" w:fill="1B2A4A"/>
          </w:tcPr>
          <w:p>
            <w:pPr>
              <w:spacing w:after="0"/>
            </w:pPr>
            <w:r/>
            <w:r>
              <w:rPr>
                <w:b/>
                <w:i w:val="0"/>
                <w:color w:val="FFFFFF"/>
                <w:sz w:val="17"/>
              </w:rPr>
              <w:t>Due date</w:t>
            </w:r>
          </w:p>
        </w:tc>
      </w:tr>
      <w:tr>
        <w:trPr>
          <w:cantSplit w:val="true"/>
        </w:trPr>
        <w:tc>
          <w:tcPr>
            <w:tcW w:type="dxa" w:w="1587"/>
            <w:shd w:val="clear" w:color="auto" w:fill="F3EFE6"/>
          </w:tcPr>
          <w:p>
            <w:pPr>
              <w:spacing w:after="0"/>
            </w:pPr>
            <w:r/>
            <w:r>
              <w:rPr>
                <w:b/>
                <w:i w:val="0"/>
                <w:sz w:val="17"/>
              </w:rPr>
              <w:t>Act on immediately</w:t>
            </w:r>
          </w:p>
        </w:tc>
        <w:tc>
          <w:tcPr>
            <w:tcW w:type="dxa" w:w="5329"/>
            <w:shd w:val="clear" w:color="auto" w:fill="F3EFE6"/>
          </w:tcPr>
          <w:p>
            <w:pPr>
              <w:spacing w:after="0"/>
            </w:pPr>
            <w:r/>
            <w:r>
              <w:rPr>
                <w:b w:val="0"/>
                <w:i w:val="0"/>
                <w:sz w:val="17"/>
              </w:rPr>
              <w:t>Ask a frontline employee in an operational role directly whether they know a specific way to report an environmental or maintenance observation that guarantees it reaches someone with authority to act, distinct from mentioning it informally to a supervisor. A hesitant or negative answer identifies the exact gap this subchapter describes.</w:t>
            </w:r>
          </w:p>
        </w:tc>
        <w:tc>
          <w:tcPr>
            <w:tcW w:type="dxa" w:w="1474"/>
            <w:shd w:val="clear" w:color="auto" w:fill="FFFFFF"/>
          </w:tcPr>
          <w:p>
            <w:pPr>
              <w:spacing w:after="0"/>
            </w:pPr>
            <w:r/>
            <w:r>
              <w:rPr>
                <w:b w:val="0"/>
                <w:i w:val="0"/>
                <w:sz w:val="17"/>
              </w:rPr>
            </w:r>
          </w:p>
        </w:tc>
        <w:tc>
          <w:tcPr>
            <w:tcW w:type="dxa" w:w="1247"/>
            <w:shd w:val="clear" w:color="auto" w:fill="FFFFFF"/>
          </w:tcPr>
          <w:p>
            <w:pPr>
              <w:spacing w:after="0"/>
            </w:pPr>
            <w:r/>
            <w:r>
              <w:rPr>
                <w:b w:val="0"/>
                <w:i w:val="0"/>
                <w:sz w:val="17"/>
              </w:rPr>
            </w:r>
          </w:p>
        </w:tc>
      </w:tr>
      <w:tr>
        <w:trPr>
          <w:cantSplit w:val="true"/>
        </w:trPr>
        <w:tc>
          <w:tcPr>
            <w:tcW w:type="dxa" w:w="1587"/>
          </w:tcPr>
          <w:p>
            <w:pPr>
              <w:spacing w:after="0"/>
            </w:pPr>
            <w:r/>
            <w:r>
              <w:rPr>
                <w:b/>
                <w:i w:val="0"/>
                <w:sz w:val="17"/>
              </w:rPr>
              <w:t>Plan for</w:t>
            </w:r>
          </w:p>
        </w:tc>
        <w:tc>
          <w:tcPr>
            <w:tcW w:type="dxa" w:w="5329"/>
          </w:tcPr>
          <w:p>
            <w:pPr>
              <w:spacing w:after="0"/>
            </w:pPr>
            <w:r/>
            <w:r>
              <w:rPr>
                <w:b w:val="0"/>
                <w:i w:val="0"/>
                <w:sz w:val="17"/>
              </w:rPr>
              <w:t>Introduce a logged, tracked observation-reporting mechanism accessible to every employee regardless of role or employment status, with guaranteed acknowledgement and visible status; and give supervisors an explicit, timed obligation to log observations raised to them, converting informal attention into a tracked responsibility.</w:t>
            </w:r>
          </w:p>
        </w:tc>
        <w:tc>
          <w:tcPr>
            <w:tcW w:type="dxa" w:w="1474"/>
            <w:shd w:val="clear" w:color="auto" w:fill="FFFFFF"/>
          </w:tcPr>
          <w:p>
            <w:pPr>
              <w:spacing w:after="0"/>
            </w:pPr>
            <w:r/>
            <w:r>
              <w:rPr>
                <w:b w:val="0"/>
                <w:i w:val="0"/>
                <w:sz w:val="17"/>
              </w:rPr>
            </w:r>
          </w:p>
        </w:tc>
        <w:tc>
          <w:tcPr>
            <w:tcW w:type="dxa" w:w="1247"/>
            <w:shd w:val="clear" w:color="auto" w:fill="FFFFFF"/>
          </w:tcPr>
          <w:p>
            <w:pPr>
              <w:spacing w:after="0"/>
            </w:pPr>
            <w:r/>
            <w:r>
              <w:rPr>
                <w:b w:val="0"/>
                <w:i w:val="0"/>
                <w:sz w:val="17"/>
              </w:rPr>
            </w:r>
          </w:p>
        </w:tc>
      </w:tr>
      <w:tr>
        <w:trPr>
          <w:cantSplit w:val="true"/>
        </w:trPr>
        <w:tc>
          <w:tcPr>
            <w:tcW w:type="dxa" w:w="1587"/>
            <w:shd w:val="clear" w:color="auto" w:fill="F3EFE6"/>
          </w:tcPr>
          <w:p>
            <w:pPr>
              <w:spacing w:after="0"/>
            </w:pPr>
            <w:r/>
            <w:r>
              <w:rPr>
                <w:b/>
                <w:i w:val="0"/>
                <w:sz w:val="17"/>
              </w:rPr>
              <w:t>Monitor going forward</w:t>
            </w:r>
          </w:p>
        </w:tc>
        <w:tc>
          <w:tcPr>
            <w:tcW w:type="dxa" w:w="5329"/>
            <w:shd w:val="clear" w:color="auto" w:fill="F3EFE6"/>
          </w:tcPr>
          <w:p>
            <w:pPr>
              <w:spacing w:after="0"/>
            </w:pPr>
            <w:r/>
            <w:r>
              <w:rPr>
                <w:b w:val="0"/>
                <w:i w:val="0"/>
                <w:sz w:val="17"/>
              </w:rPr>
              <w:t>Track the time between an observation being logged and its first acknowledgement, and review this metric at the same management review level as any other environmental performance indicator — treating a lengthening delay as an early warning worth acting on before it produces a specific, costly finding.</w:t>
            </w:r>
          </w:p>
        </w:tc>
        <w:tc>
          <w:tcPr>
            <w:tcW w:type="dxa" w:w="1474"/>
            <w:shd w:val="clear" w:color="auto" w:fill="FFFFFF"/>
          </w:tcPr>
          <w:p>
            <w:pPr>
              <w:spacing w:after="0"/>
            </w:pPr>
            <w:r/>
            <w:r>
              <w:rPr>
                <w:b w:val="0"/>
                <w:i w:val="0"/>
                <w:sz w:val="17"/>
              </w:rPr>
            </w:r>
          </w:p>
        </w:tc>
        <w:tc>
          <w:tcPr>
            <w:tcW w:type="dxa" w:w="1247"/>
            <w:shd w:val="clear" w:color="auto" w:fill="FFFFFF"/>
          </w:tcPr>
          <w:p>
            <w:pPr>
              <w:spacing w:after="0"/>
            </w:pPr>
            <w:r/>
            <w:r>
              <w:rPr>
                <w:b w:val="0"/>
                <w:i w:val="0"/>
                <w:sz w:val="17"/>
              </w:rPr>
            </w:r>
          </w:p>
        </w:tc>
      </w:tr>
    </w:tbl>
    <w:p>
      <w:pPr>
        <w:spacing w:after="120" w:before="0"/>
      </w:pPr>
    </w:p>
    <w:tbl>
      <w:tblPr>
        <w:tblW w:type="dxa" w:w="9639"/>
        <w:jc w:val="center"/>
        <w:tblLook w:firstColumn="1" w:firstRow="1" w:lastColumn="0" w:lastRow="0" w:noHBand="0" w:noVBand="1" w:val="04A0"/>
        <w:tblLayout w:type="fixed"/>
        <w:tblCellMar>
          <w:top w:w="120" w:type="dxa"/>
          <w:left w:w="200" w:type="dxa"/>
          <w:bottom w:w="120" w:type="dxa"/>
          <w:right w:w="160" w:type="dxa"/>
        </w:tblCellMar>
        <w:tblLayout w:type="fixed"/>
      </w:tblPr>
      <w:tblGrid>
        <w:gridCol w:w="9639"/>
      </w:tblGrid>
      <w:tr>
        <w:tc>
          <w:tcPr>
            <w:tcW w:type="dxa" w:w="9638"/>
            <w:shd w:val="clear" w:color="auto" w:fill="FFFFFF"/>
            <w:tcBorders>
              <w:left w:val="single" w:sz="24" w:space="0" w:color="C9BBA6"/>
              <w:top w:val="single" w:sz="4" w:space="0" w:color="FFFFFF"/>
              <w:bottom w:val="single" w:sz="4" w:space="0" w:color="FFFFFF"/>
              <w:right w:val="single" w:sz="4" w:space="0" w:color="FFFFFF"/>
            </w:tcBorders>
          </w:tcPr>
          <w:p>
            <w:pPr>
              <w:spacing w:after="60"/>
            </w:pPr>
            <w:r>
              <w:rPr>
                <w:b/>
                <w:color w:val="5A5A5A"/>
                <w:sz w:val="17"/>
              </w:rPr>
              <w:t>WHAT THIS SHEET IS NOT</w:t>
            </w:r>
          </w:p>
          <w:p>
            <w:pPr>
              <w:spacing w:after="40"/>
            </w:pPr>
            <w:r>
              <w:rPr>
                <w:i/>
                <w:color w:val="333333"/>
                <w:sz w:val="18"/>
              </w:rPr>
              <w:t>ISO 14001 does not prescribe this form. No clause asks for this worksheet, its columns or a register of market claims; the standard sets requirements and leaves the means to the organisation. This sheet is a working aid drawn from the book: use it, change it or set it aside. Where it touches a requirement, the text of ISO 14001:2026 is the authority, not this page — and nothing on it replaces your own reading of that text.</w:t>
            </w:r>
          </w:p>
        </w:tc>
      </w:tr>
    </w:tbl>
    <w:p>
      <w:pPr>
        <w:spacing w:after="40"/>
      </w:pPr>
    </w:p>
    <w:p>
      <w:pPr>
        <w:spacing w:after="80" w:before="80"/>
      </w:pPr>
      <w:r>
        <w:rPr>
          <w:b w:val="0"/>
          <w:i w:val="0"/>
          <w:color w:val="9A7B2E"/>
          <w:sz w:val="16"/>
        </w:rPr>
        <w:t>Source: Francesco Dore, The Helm and the Lens, Volume 1a — ISO 14001:2026, subchapter 2.4. Edizioni Effedore 2026. © 2026 Francesco Dore. Free to adapt for use in your own property. enbooks.effedore.com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1134" w:right="1134" w:bottom="1134" w:left="1134" w:header="510" w:footer="51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/>
    <w:r>
      <w:rPr>
        <w:color w:val="5A5A5A"/>
        <w:sz w:val="16"/>
      </w:rPr>
      <w:t xml:space="preserve">The Helm and the Lens · Volume 1a · Working material 2.4 · enbooks.effedore.com · page </w:t>
    </w:r>
    <w:r>
      <w:rPr>
        <w:color w:val="5A5A5A"/>
        <w:sz w:val="16"/>
      </w:rPr>
      <w:fldChar w:fldCharType="begin"/>
      <w:instrText xml:space="preserve"> PAGE 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pBdr>
        <w:bottom w:val="single" w:sz="6" w:space="4" w:color="C9BBA6"/>
      </w:pBdr>
    </w:pPr>
    <w:r/>
    <w:r>
      <w:rPr>
        <w:b/>
        <w:color w:val="9A7B2E"/>
        <w:sz w:val="17"/>
      </w:rPr>
      <w:t>The Helm and the Lens · Volume 1a · ISO 14001:2026 — The Helm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line="269" w:lineRule="auto"/>
    </w:pPr>
    <w:rPr>
      <w:rFonts w:ascii="Aptos" w:hAnsi="Aptos" w:cs="Aptos" w:eastAsia="Aptos"/>
      <w:color w:val="222222"/>
      <w:sz w:val="20"/>
      <w:lang w:val="en-GB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