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2.5</w:t>
      </w:r>
    </w:p>
    <w:p>
      <w:pPr>
        <w:keepNext/>
        <w:spacing w:after="40" w:before="0"/>
      </w:pPr>
      <w:r>
        <w:rPr>
          <w:b/>
          <w:i w:val="0"/>
          <w:color w:val="1B2A4A"/>
          <w:sz w:val="40"/>
        </w:rPr>
        <w:t>Documented Information: What to Keep, What to Discard</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2.5 into editable form: the Verification Pact, the review questions,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A laminated card on a wall looks more official than a file on a computer. What happens when the laminated card is nine months out of date and no one ever built a way to know that by looking at it?</w:t>
            </w:r>
          </w:p>
        </w:tc>
      </w:tr>
    </w:tbl>
    <w:p>
      <w:pPr>
        <w:spacing w:after="40"/>
      </w:pPr>
    </w:p>
    <w:p>
      <w:pPr>
        <w:keepNext/>
        <w:spacing w:after="80" w:before="200"/>
      </w:pPr>
      <w:r>
        <w:rPr>
          <w:b/>
          <w:i w:val="0"/>
          <w:color w:val="9A7B2E"/>
          <w:sz w:val="26"/>
        </w:rPr>
        <w:t>Verification Pact: Market Claims Against the Standard</w:t>
      </w:r>
    </w:p>
    <w:p>
      <w:pPr>
        <w:keepNext/>
        <w:spacing w:after="80" w:before="0"/>
      </w:pPr>
      <w:r>
        <w:rPr>
          <w:b w:val="0"/>
          <w:i/>
          <w:color w:val="5A5A5A"/>
          <w:sz w:val="18"/>
        </w:rPr>
        <w:t>The first three columns are copied from the book. In the last one, note whether this claim circulates in your property — in a proposal, a brochure, a supplier’s pitch or your own documents — and what you now hold instead.</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551"/>
        <w:gridCol w:w="1190"/>
        <w:gridCol w:w="3515"/>
        <w:gridCol w:w="2381"/>
      </w:tblGrid>
      <w:tr>
        <w:trPr>
          <w:tblHeader w:val="true"/>
        </w:trPr>
        <w:tc>
          <w:tcPr>
            <w:tcW w:type="dxa" w:w="2551"/>
            <w:shd w:val="clear" w:color="auto" w:fill="1B2A4A"/>
          </w:tcPr>
          <w:p>
            <w:pPr>
              <w:spacing w:after="0"/>
            </w:pPr>
            <w:r/>
            <w:r>
              <w:rPr>
                <w:b/>
                <w:i w:val="0"/>
                <w:color w:val="FFFFFF"/>
                <w:sz w:val="17"/>
              </w:rPr>
              <w:t>What is claimed</w:t>
            </w:r>
          </w:p>
        </w:tc>
        <w:tc>
          <w:tcPr>
            <w:tcW w:type="dxa" w:w="1191"/>
            <w:shd w:val="clear" w:color="auto" w:fill="1B2A4A"/>
          </w:tcPr>
          <w:p>
            <w:pPr>
              <w:spacing w:after="0"/>
            </w:pPr>
            <w:r/>
            <w:r>
              <w:rPr>
                <w:b/>
                <w:i w:val="0"/>
                <w:color w:val="FFFFFF"/>
                <w:sz w:val="17"/>
              </w:rPr>
              <w:t>Binding?</w:t>
            </w:r>
          </w:p>
        </w:tc>
        <w:tc>
          <w:tcPr>
            <w:tcW w:type="dxa" w:w="3515"/>
            <w:shd w:val="clear" w:color="auto" w:fill="1B2A4A"/>
          </w:tcPr>
          <w:p>
            <w:pPr>
              <w:spacing w:after="0"/>
            </w:pPr>
            <w:r/>
            <w:r>
              <w:rPr>
                <w:b/>
                <w:i w:val="0"/>
                <w:color w:val="FFFFFF"/>
                <w:sz w:val="17"/>
              </w:rPr>
              <w:t>What actually holds</w:t>
            </w:r>
          </w:p>
        </w:tc>
        <w:tc>
          <w:tcPr>
            <w:tcW w:type="dxa" w:w="2381"/>
            <w:shd w:val="clear" w:color="auto" w:fill="1B2A4A"/>
          </w:tcPr>
          <w:p>
            <w:pPr>
              <w:spacing w:after="0"/>
            </w:pPr>
            <w:r/>
            <w:r>
              <w:rPr>
                <w:b/>
                <w:i w:val="0"/>
                <w:color w:val="FFFFFF"/>
                <w:sz w:val="17"/>
              </w:rPr>
              <w:t>In our property</w:t>
            </w:r>
          </w:p>
        </w:tc>
      </w:tr>
      <w:tr>
        <w:trPr>
          <w:cantSplit w:val="true"/>
        </w:trPr>
        <w:tc>
          <w:tcPr>
            <w:tcW w:type="dxa" w:w="2551"/>
            <w:shd w:val="clear" w:color="auto" w:fill="F3EFE6"/>
          </w:tcPr>
          <w:p>
            <w:pPr>
              <w:spacing w:after="0"/>
            </w:pPr>
            <w:r/>
            <w:r>
              <w:rPr>
                <w:b w:val="0"/>
                <w:i w:val="0"/>
                <w:sz w:val="17"/>
              </w:rPr>
              <w:t>Physical documents such as laminated cards fall outside the formal document control system if the organisation’s primary system is digital</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Clause 7.5 applies to documented information regardless of format; a laminated card created for operational use is subject to the same control requirements as its digital source</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Updating a master digital document satisfies clause 7.5.3’s control-of-changes requirement regardless of other active instances of the same document</w:t>
            </w:r>
          </w:p>
        </w:tc>
        <w:tc>
          <w:tcPr>
            <w:tcW w:type="dxa" w:w="1191"/>
          </w:tcPr>
          <w:p>
            <w:pPr>
              <w:spacing w:after="0"/>
            </w:pPr>
            <w:r/>
            <w:r>
              <w:rPr>
                <w:b w:val="0"/>
                <w:i w:val="0"/>
                <w:sz w:val="17"/>
              </w:rPr>
              <w:t>No</w:t>
            </w:r>
          </w:p>
        </w:tc>
        <w:tc>
          <w:tcPr>
            <w:tcW w:type="dxa" w:w="3515"/>
          </w:tcPr>
          <w:p>
            <w:pPr>
              <w:spacing w:after="0"/>
            </w:pPr>
            <w:r/>
            <w:r>
              <w:rPr>
                <w:b w:val="0"/>
                <w:i w:val="0"/>
                <w:sz w:val="17"/>
              </w:rPr>
              <w:t>The requirement concerns the document’s effective control across its actual use, not only the accuracy of a single master copy the update reached</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A document’s physical, permanent presence at the point of use is inherently more reliable than a digital equivalent</w:t>
            </w:r>
          </w:p>
        </w:tc>
        <w:tc>
          <w:tcPr>
            <w:tcW w:type="dxa" w:w="1191"/>
            <w:shd w:val="clear" w:color="auto" w:fill="F3EFE6"/>
          </w:tcPr>
          <w:p>
            <w:pPr>
              <w:spacing w:after="0"/>
            </w:pPr>
            <w:r/>
            <w:r>
              <w:rPr>
                <w:b w:val="0"/>
                <w:i w:val="0"/>
                <w:sz w:val="17"/>
              </w:rPr>
              <w:t>Not necessarily</w:t>
            </w:r>
          </w:p>
        </w:tc>
        <w:tc>
          <w:tcPr>
            <w:tcW w:type="dxa" w:w="3515"/>
            <w:shd w:val="clear" w:color="auto" w:fill="F3EFE6"/>
          </w:tcPr>
          <w:p>
            <w:pPr>
              <w:spacing w:after="0"/>
            </w:pPr>
            <w:r/>
            <w:r>
              <w:rPr>
                <w:b w:val="0"/>
                <w:i w:val="0"/>
                <w:sz w:val="17"/>
              </w:rPr>
              <w:t>Physical presence solves accessibility; it does nothing, on its own, to solve currency, and can actively work against it if no mechanism updates the physical copy alongside the digital one</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laminated or printed document without a version number or date is still adequately identified under clause 7.5.2 if its content is otherwise clear</w:t>
            </w:r>
          </w:p>
        </w:tc>
        <w:tc>
          <w:tcPr>
            <w:tcW w:type="dxa" w:w="1191"/>
          </w:tcPr>
          <w:p>
            <w:pPr>
              <w:spacing w:after="0"/>
            </w:pPr>
            <w:r/>
            <w:r>
              <w:rPr>
                <w:b w:val="0"/>
                <w:i w:val="0"/>
                <w:sz w:val="17"/>
              </w:rPr>
              <w:t>No</w:t>
            </w:r>
          </w:p>
        </w:tc>
        <w:tc>
          <w:tcPr>
            <w:tcW w:type="dxa" w:w="3515"/>
          </w:tcPr>
          <w:p>
            <w:pPr>
              <w:spacing w:after="0"/>
            </w:pPr>
            <w:r/>
            <w:r>
              <w:rPr>
                <w:b w:val="0"/>
                <w:i w:val="0"/>
                <w:sz w:val="17"/>
              </w:rPr>
              <w:t>The clause requires appropriate identification and description, which for a controlled procedure in practice means being able to tell it apart from superseded versions, which an undated, unversioned laminated card cannot provide</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Once a procedure is updated and staff are retrained on the new version, physical copies of the old version pose no further risk</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Training staff on a new procedure does not remove a physically present, unmarked prior version from the environment where staff, especially under time pressure or in an unfamiliar setting, may still reach for it out of habit or convenience</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Document control requirements are primarily an audit compliance concern rather than an operational safety and environmental concern</w:t>
            </w:r>
          </w:p>
        </w:tc>
        <w:tc>
          <w:tcPr>
            <w:tcW w:type="dxa" w:w="1191"/>
          </w:tcPr>
          <w:p>
            <w:pPr>
              <w:spacing w:after="0"/>
            </w:pPr>
            <w:r/>
            <w:r>
              <w:rPr>
                <w:b w:val="0"/>
                <w:i w:val="0"/>
                <w:sz w:val="17"/>
              </w:rPr>
              <w:t>No</w:t>
            </w:r>
          </w:p>
        </w:tc>
        <w:tc>
          <w:tcPr>
            <w:tcW w:type="dxa" w:w="3515"/>
          </w:tcPr>
          <w:p>
            <w:pPr>
              <w:spacing w:after="0"/>
            </w:pPr>
            <w:r/>
            <w:r>
              <w:rPr>
                <w:b w:val="0"/>
                <w:i w:val="0"/>
                <w:sz w:val="17"/>
              </w:rPr>
              <w:t>The Zanzibar case demonstrates a direct operational consequence — an environmental incident — arising specifically from a document control gap, not merely a paperwork discrepancy an auditor might note</w:t>
            </w:r>
          </w:p>
        </w:tc>
        <w:tc>
          <w:tcPr>
            <w:tcW w:type="dxa" w:w="2381"/>
            <w:shd w:val="clear" w:color="auto" w:fill="FFFFFF"/>
          </w:tcPr>
          <w:p>
            <w:pPr>
              <w:spacing w:after="0"/>
            </w:pPr>
            <w:r/>
            <w:r>
              <w:rPr>
                <w:b w:val="0"/>
                <w:i w:val="0"/>
                <w:sz w:val="17"/>
              </w:rPr>
            </w:r>
          </w:p>
        </w:tc>
      </w:tr>
    </w:tbl>
    <w:p>
      <w:pPr>
        <w:keepNext/>
        <w:spacing w:after="80" w:before="200"/>
      </w:pPr>
      <w:r>
        <w:rPr>
          <w:b/>
          <w:i w:val="0"/>
          <w:color w:val="9A7B2E"/>
          <w:sz w:val="26"/>
        </w:rPr>
        <w:t>A Checklist for the Next Document Control Review</w:t>
      </w:r>
    </w:p>
    <w:p>
      <w:pPr>
        <w:keepNext/>
        <w:spacing w:after="80" w:before="0"/>
      </w:pPr>
      <w:r>
        <w:rPr>
          <w:b w:val="0"/>
          <w:i/>
          <w:color w:val="5A5A5A"/>
          <w:sz w:val="18"/>
        </w:rPr>
        <w:t>Answer each question with Yes, Partly, No or N.A., and name the evidence: a record, a date, a person, a place someone can go and look. An answer without evidence is an opinion.</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061"/>
        <w:gridCol w:w="2948"/>
        <w:gridCol w:w="1020"/>
        <w:gridCol w:w="2608"/>
      </w:tblGrid>
      <w:tr>
        <w:trPr>
          <w:tblHeader w:val="true"/>
        </w:trPr>
        <w:tc>
          <w:tcPr>
            <w:tcW w:type="dxa" w:w="3061"/>
            <w:shd w:val="clear" w:color="auto" w:fill="1B2A4A"/>
          </w:tcPr>
          <w:p>
            <w:pPr>
              <w:spacing w:after="0"/>
            </w:pPr>
            <w:r/>
            <w:r>
              <w:rPr>
                <w:b/>
                <w:i w:val="0"/>
                <w:color w:val="FFFFFF"/>
                <w:sz w:val="17"/>
              </w:rPr>
              <w:t>Question</w:t>
            </w:r>
          </w:p>
        </w:tc>
        <w:tc>
          <w:tcPr>
            <w:tcW w:type="dxa" w:w="2948"/>
            <w:shd w:val="clear" w:color="auto" w:fill="1B2A4A"/>
          </w:tcPr>
          <w:p>
            <w:pPr>
              <w:spacing w:after="0"/>
            </w:pPr>
            <w:r/>
            <w:r>
              <w:rPr>
                <w:b/>
                <w:i w:val="0"/>
                <w:color w:val="FFFFFF"/>
                <w:sz w:val="17"/>
              </w:rPr>
              <w:t>Why it matters</w:t>
            </w:r>
          </w:p>
        </w:tc>
        <w:tc>
          <w:tcPr>
            <w:tcW w:type="dxa" w:w="1020"/>
            <w:shd w:val="clear" w:color="auto" w:fill="1B2A4A"/>
          </w:tcPr>
          <w:p>
            <w:pPr>
              <w:spacing w:after="0"/>
            </w:pPr>
            <w:r/>
            <w:r>
              <w:rPr>
                <w:b/>
                <w:i w:val="0"/>
                <w:color w:val="FFFFFF"/>
                <w:sz w:val="17"/>
              </w:rPr>
              <w:t>Answer</w:t>
            </w:r>
          </w:p>
        </w:tc>
        <w:tc>
          <w:tcPr>
            <w:tcW w:type="dxa" w:w="2608"/>
            <w:shd w:val="clear" w:color="auto" w:fill="1B2A4A"/>
          </w:tcPr>
          <w:p>
            <w:pPr>
              <w:spacing w:after="0"/>
            </w:pPr>
            <w:r/>
            <w:r>
              <w:rPr>
                <w:b/>
                <w:i w:val="0"/>
                <w:color w:val="FFFFFF"/>
                <w:sz w:val="17"/>
              </w:rPr>
              <w:t>Evidence</w:t>
            </w:r>
          </w:p>
        </w:tc>
      </w:tr>
      <w:tr>
        <w:trPr>
          <w:cantSplit w:val="true"/>
          <w:trHeight w:val="680" w:hRule="atLeast"/>
        </w:trPr>
        <w:tc>
          <w:tcPr>
            <w:tcW w:type="dxa" w:w="3061"/>
            <w:shd w:val="clear" w:color="auto" w:fill="F3EFE6"/>
          </w:tcPr>
          <w:p>
            <w:pPr>
              <w:spacing w:after="0"/>
            </w:pPr>
            <w:r/>
            <w:r>
              <w:rPr>
                <w:b w:val="0"/>
                <w:i w:val="0"/>
                <w:sz w:val="17"/>
              </w:rPr>
              <w:t>Have we ever conducted a physical walk-through specifically to inventory printed or laminated procedures against their digital sources?</w:t>
            </w:r>
          </w:p>
        </w:tc>
        <w:tc>
          <w:tcPr>
            <w:tcW w:type="dxa" w:w="2948"/>
            <w:shd w:val="clear" w:color="auto" w:fill="F3EFE6"/>
          </w:tcPr>
          <w:p>
            <w:pPr>
              <w:spacing w:after="0"/>
            </w:pPr>
            <w:r/>
            <w:r>
              <w:rPr>
                <w:b w:val="0"/>
                <w:i w:val="0"/>
                <w:sz w:val="17"/>
              </w:rPr>
              <w:t>Zanzibar’s gap existed for nine months precisely because no one had ever looked</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Does every physical copy carry a visible version number and date?</w:t>
            </w:r>
          </w:p>
        </w:tc>
        <w:tc>
          <w:tcPr>
            <w:tcW w:type="dxa" w:w="2948"/>
          </w:tcPr>
          <w:p>
            <w:pPr>
              <w:spacing w:after="0"/>
            </w:pPr>
            <w:r/>
            <w:r>
              <w:rPr>
                <w:b w:val="0"/>
                <w:i w:val="0"/>
                <w:sz w:val="17"/>
              </w:rPr>
              <w:t>Without this, currency cannot be verified by anyone looking at the document itself</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Does updating a master document automatically trigger replacement of known physical copies, or does propagation depend on someone remembering?</w:t>
            </w:r>
          </w:p>
        </w:tc>
        <w:tc>
          <w:tcPr>
            <w:tcW w:type="dxa" w:w="2948"/>
            <w:shd w:val="clear" w:color="auto" w:fill="F3EFE6"/>
          </w:tcPr>
          <w:p>
            <w:pPr>
              <w:spacing w:after="0"/>
            </w:pPr>
            <w:r/>
            <w:r>
              <w:rPr>
                <w:b w:val="0"/>
                <w:i w:val="0"/>
                <w:sz w:val="17"/>
              </w:rPr>
              <w:t>The single mechanism that would have closed the gap in days rather than months</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Have we asked staff directly whether they have created any personal or informal reference copies outside the formal system?</w:t>
            </w:r>
          </w:p>
        </w:tc>
        <w:tc>
          <w:tcPr>
            <w:tcW w:type="dxa" w:w="2948"/>
          </w:tcPr>
          <w:p>
            <w:pPr>
              <w:spacing w:after="0"/>
            </w:pPr>
            <w:r/>
            <w:r>
              <w:rPr>
                <w:b w:val="0"/>
                <w:i w:val="0"/>
                <w:sz w:val="17"/>
              </w:rPr>
              <w:t>The inventory at Zanzibar found two further undocumented copies no one had thought to mention unprompted</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When a document is superseded, is the prior physical version disposed of immediately, or does it coexist with the new one for any period?</w:t>
            </w:r>
          </w:p>
        </w:tc>
        <w:tc>
          <w:tcPr>
            <w:tcW w:type="dxa" w:w="2948"/>
            <w:shd w:val="clear" w:color="auto" w:fill="F3EFE6"/>
          </w:tcPr>
          <w:p>
            <w:pPr>
              <w:spacing w:after="0"/>
            </w:pPr>
            <w:r/>
            <w:r>
              <w:rPr>
                <w:b w:val="0"/>
                <w:i w:val="0"/>
                <w:sz w:val="17"/>
              </w:rPr>
              <w:t>Any coexistence window is exactly when confusion becomes most likely</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Controlling digital documentation thoroughly while leaving physical copies entirely outside the formal control system.</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Assuming a laminated or printed document’s permanent physical presence makes it inherently more reliable than a digital equivalent.</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Failing to identify physical copies with version numbers or dates, making currency impossible to verify at a glance.</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Updating a master document without any mechanism to trigger replacement of known physical counterparts.</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staff training on a new procedure removes the risk posed by a physically present, unmarked prior version.</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Eliminating physical copies entirely without addressing the genuine operational need that created them, risking uncontrolled informal recreation instead.</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Failing to maintain any inventory of where physical copies of controlled documents actually exist across the property.</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Treating document control as primarily a digital system concern, overlooking that documented information includes any format the organisation actually uses operationally.</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an auditor’s review of the digital system alone provides adequate assurance of document control, without physically checking posted or printed materials.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Failing to address informal, personally created reference copies that exist entirely outside organisational awareness.</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Walk every operational area of the property and identify every physical printed or laminated procedure currently posted or in use, and check each directly against its corresponding digital master document for currency.</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Build a physical-copy inventory linked to every controlled digital master document, with an automatic replacement trigger whenever the master updates; and redesign physical copies to display clear version and date information, with an instruction to verify currency when in doubt.</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Include a physical-copy currency check as a standing element of the property’s internal audit programme, verifying not only that digital masters are correctly controlled but that every known physical instance actually matches them.</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2.5.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2.5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