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2.7</w:t>
      </w:r>
    </w:p>
    <w:p>
      <w:pPr>
        <w:keepNext/>
        <w:spacing w:after="40" w:before="0"/>
      </w:pPr>
      <w:r>
        <w:rPr>
          <w:b/>
          <w:i w:val="0"/>
          <w:color w:val="1B2A4A"/>
          <w:sz w:val="40"/>
        </w:rPr>
        <w:t>Operational Control in Housekeeping and Laundry</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2.7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Outsourcing a process can genuinely reduce an organisation’s own environmental footprint. It does nothing on its own to extend the organisation’s specific environmental requirements to whoever is now doing the work.</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Outsourcing a process automatically improves an organisation’s environmental performance</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Outsourcing can improve the organisation’s own directly measured footprint while leaving an equivalent or greater impact unaddressed at the contractor, as the Nassau case demonstrates directly</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Selecting a reputable, established contractor is sufficient to satisfy clause 8.1’s requirement regarding external providers</w:t>
            </w:r>
          </w:p>
        </w:tc>
        <w:tc>
          <w:tcPr>
            <w:tcW w:type="dxa" w:w="1191"/>
          </w:tcPr>
          <w:p>
            <w:pPr>
              <w:spacing w:after="0"/>
            </w:pPr>
            <w:r/>
            <w:r>
              <w:rPr>
                <w:b w:val="0"/>
                <w:i w:val="0"/>
                <w:sz w:val="17"/>
              </w:rPr>
              <w:t>No</w:t>
            </w:r>
          </w:p>
        </w:tc>
        <w:tc>
          <w:tcPr>
            <w:tcW w:type="dxa" w:w="3515"/>
          </w:tcPr>
          <w:p>
            <w:pPr>
              <w:spacing w:after="0"/>
            </w:pPr>
            <w:r/>
            <w:r>
              <w:rPr>
                <w:b w:val="0"/>
                <w:i w:val="0"/>
                <w:sz w:val="17"/>
              </w:rPr>
              <w:t>The clause requires communicating relevant environmental requirements specifically, not merely selecting a generally competent provider</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 contractor’s own compliance with its own facility’s discharge permit satisfies the client organisation’s environmental obligations</w:t>
            </w:r>
          </w:p>
        </w:tc>
        <w:tc>
          <w:tcPr>
            <w:tcW w:type="dxa" w:w="1191"/>
            <w:shd w:val="clear" w:color="auto" w:fill="F3EFE6"/>
          </w:tcPr>
          <w:p>
            <w:pPr>
              <w:spacing w:after="0"/>
            </w:pPr>
            <w:r/>
            <w:r>
              <w:rPr>
                <w:b w:val="0"/>
                <w:i w:val="0"/>
                <w:sz w:val="17"/>
              </w:rPr>
              <w:t>Not necessarily</w:t>
            </w:r>
          </w:p>
        </w:tc>
        <w:tc>
          <w:tcPr>
            <w:tcW w:type="dxa" w:w="3515"/>
            <w:shd w:val="clear" w:color="auto" w:fill="F3EFE6"/>
          </w:tcPr>
          <w:p>
            <w:pPr>
              <w:spacing w:after="0"/>
            </w:pPr>
            <w:r/>
            <w:r>
              <w:rPr>
                <w:b w:val="0"/>
                <w:i w:val="0"/>
                <w:sz w:val="17"/>
              </w:rPr>
              <w:t>A contractor can be fully compliant with its own permit while the client organisation’s own specific, additional voluntary commitment — as with Nassau’s reef-safe certification — remains entirely unaddressed</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Environmental requirements only need to be communicated to contractors performing work on the organisation’s own physical premises</w:t>
            </w:r>
          </w:p>
        </w:tc>
        <w:tc>
          <w:tcPr>
            <w:tcW w:type="dxa" w:w="1191"/>
          </w:tcPr>
          <w:p>
            <w:pPr>
              <w:spacing w:after="0"/>
            </w:pPr>
            <w:r/>
            <w:r>
              <w:rPr>
                <w:b w:val="0"/>
                <w:i w:val="0"/>
                <w:sz w:val="17"/>
              </w:rPr>
              <w:t>No</w:t>
            </w:r>
          </w:p>
        </w:tc>
        <w:tc>
          <w:tcPr>
            <w:tcW w:type="dxa" w:w="3515"/>
          </w:tcPr>
          <w:p>
            <w:pPr>
              <w:spacing w:after="0"/>
            </w:pPr>
            <w:r/>
            <w:r>
              <w:rPr>
                <w:b w:val="0"/>
                <w:i w:val="0"/>
                <w:sz w:val="17"/>
              </w:rPr>
              <w:t>The clause applies to external providers generally, including those performing outsourced work at their own facility, wherever the organisation’s environmental requirements are genuinely relevant to that work</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Procurement decisions driven by cost, capacity, and quality criteria inherently include environmental considerations by default</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Environmental requirements must be determined and communicated deliberately; they do not enter a procurement process automatically alongside other business criteria</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Once an outsourcing relationship is established and functioning reliably, no further verification of environmental alignment is needed</w:t>
            </w:r>
          </w:p>
        </w:tc>
        <w:tc>
          <w:tcPr>
            <w:tcW w:type="dxa" w:w="1191"/>
          </w:tcPr>
          <w:p>
            <w:pPr>
              <w:spacing w:after="0"/>
            </w:pPr>
            <w:r/>
            <w:r>
              <w:rPr>
                <w:b w:val="0"/>
                <w:i w:val="0"/>
                <w:sz w:val="17"/>
              </w:rPr>
              <w:t>No</w:t>
            </w:r>
          </w:p>
        </w:tc>
        <w:tc>
          <w:tcPr>
            <w:tcW w:type="dxa" w:w="3515"/>
          </w:tcPr>
          <w:p>
            <w:pPr>
              <w:spacing w:after="0"/>
            </w:pPr>
            <w:r/>
            <w:r>
              <w:rPr>
                <w:b w:val="0"/>
                <w:i w:val="0"/>
                <w:sz w:val="17"/>
              </w:rPr>
              <w:t>Ongoing verification, not only initial selection, is necessary to confirm a contractor’s practice continues to align with requirements the organisation has determined relevant</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Checklist for the Next Outsourcing Decision</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Is this process connected to any significant environmental aspect in our own register?</w:t>
            </w:r>
          </w:p>
        </w:tc>
        <w:tc>
          <w:tcPr>
            <w:tcW w:type="dxa" w:w="2948"/>
            <w:shd w:val="clear" w:color="auto" w:fill="F3EFE6"/>
          </w:tcPr>
          <w:p>
            <w:pPr>
              <w:spacing w:after="0"/>
            </w:pPr>
            <w:r/>
            <w:r>
              <w:rPr>
                <w:b w:val="0"/>
                <w:i w:val="0"/>
                <w:sz w:val="17"/>
              </w:rPr>
              <w:t>The starting question that would have caught Nassau’s gap before the contract was ever signed</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Have we determined and communicated our specific environmental requirements to the contractor, in writing, as part of the agreement?</w:t>
            </w:r>
          </w:p>
        </w:tc>
        <w:tc>
          <w:tcPr>
            <w:tcW w:type="dxa" w:w="2948"/>
          </w:tcPr>
          <w:p>
            <w:pPr>
              <w:spacing w:after="0"/>
            </w:pPr>
            <w:r/>
            <w:r>
              <w:rPr>
                <w:b w:val="0"/>
                <w:i w:val="0"/>
                <w:sz w:val="17"/>
              </w:rPr>
              <w:t>General reputation and quality benchmarking do not substitute for this specific requirement</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Does our procurement process include an environmental sign-off step, or does environmental consideration depend on someone happening to raise it?</w:t>
            </w:r>
          </w:p>
        </w:tc>
        <w:tc>
          <w:tcPr>
            <w:tcW w:type="dxa" w:w="2948"/>
            <w:shd w:val="clear" w:color="auto" w:fill="F3EFE6"/>
          </w:tcPr>
          <w:p>
            <w:pPr>
              <w:spacing w:after="0"/>
            </w:pPr>
            <w:r/>
            <w:r>
              <w:rPr>
                <w:b w:val="0"/>
                <w:i w:val="0"/>
                <w:sz w:val="17"/>
              </w:rPr>
              <w:t>Nassau’s gap existed precisely because no one’s role included raising it</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If this contractor’s practice or ownership changed tomorrow, would we know?</w:t>
            </w:r>
          </w:p>
        </w:tc>
        <w:tc>
          <w:tcPr>
            <w:tcW w:type="dxa" w:w="2948"/>
          </w:tcPr>
          <w:p>
            <w:pPr>
              <w:spacing w:after="0"/>
            </w:pPr>
            <w:r/>
            <w:r>
              <w:rPr>
                <w:b w:val="0"/>
                <w:i w:val="0"/>
                <w:sz w:val="17"/>
              </w:rPr>
              <w:t>Verification at initial selection alone does not protect against drift over the life of the relationship</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When we review our significant aspects register, do we check it against every outsourced relationship, or only against our own direct operations?</w:t>
            </w:r>
          </w:p>
        </w:tc>
        <w:tc>
          <w:tcPr>
            <w:tcW w:type="dxa" w:w="2948"/>
            <w:shd w:val="clear" w:color="auto" w:fill="F3EFE6"/>
          </w:tcPr>
          <w:p>
            <w:pPr>
              <w:spacing w:after="0"/>
            </w:pPr>
            <w:r/>
            <w:r>
              <w:rPr>
                <w:b w:val="0"/>
                <w:i w:val="0"/>
                <w:sz w:val="17"/>
              </w:rPr>
              <w:t>An aspect does not stop being significant because its physical performance moved outside the property’s walls</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a reduction in the organisation’s own directly measured footprint as evidence an outsourcing decision was environmentally sound in every respect.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Evaluating contractor selection against cost, capacity, and quality without including the organisation’s own specific environmental requirements as a criterion.</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a contractor’s own permit compliance satisfies the client organisation’s separate, additional voluntary commitments.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Finalising a service contract without any environmental requirement specified in its terms.</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Failing to review existing outsourced relationships when a new significant aspect or compliance obligation is identified.</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Verifying a contractor’s environmental alignment only at initial selection, never on an ongoing basis.</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Responding to a discovered gap by switching contractors without addressing the underlying process failure that allowed the gap to exist.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Leaving environmental requirement inclusion dependent on individual procurement staff awareness rather than a structural contract requirement.</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an established, reputable contractor’s general practice aligns with an organisation’s specific requirements without verification.</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outsourcing decisions as outside the environmental management function’s scope of review entirely.</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List every outsourced process connected to a significant environmental aspect in the property’s own register, and confirm directly whether the organisation’s specific requirements for that aspect are written into the contractor agreement or exist only informally, if at all.</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Require explicit environmental sign-off before any outsourcing decision connected to a significant aspect is finalised; and build a standard contract term structure that includes relevant environmental requirements by default, rather than depending on individual awareness each time a contract is negotiated.</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Establish periodic verification for high-significance outsourced relationships, confirming continued alignment rather than relying solely on terms agreed at the relationship’s outset — and review every existing outsourced relationship whenever a new significant aspect or compliance obligation is identified.</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2.7.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2.7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