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after="40" w:before="0"/>
      </w:pPr>
      <w:r>
        <w:rPr>
          <w:rFonts w:ascii="Aptos" w:hAnsi="Aptos" w:cs="Aptos" w:eastAsia="Aptos"/>
          <w:b/>
          <w:i w:val="0"/>
          <w:color w:val="9A7B2E"/>
          <w:sz w:val="17"/>
        </w:rPr>
        <w:t>WORKING MATERIAL 3.13 · CHAPTER 3 — THE INTERNAL AUDITOR’S LENS</w:t>
      </w:r>
    </w:p>
    <w:p>
      <w:pPr>
        <w:keepNext/>
        <w:spacing w:after="80" w:before="0"/>
      </w:pPr>
      <w:r>
        <w:rPr>
          <w:rFonts w:ascii="Aptos" w:hAnsi="Aptos" w:cs="Aptos" w:eastAsia="Aptos"/>
          <w:b/>
          <w:i w:val="0"/>
          <w:color w:val="1B2A4A"/>
          <w:sz w:val="38"/>
        </w:rPr>
        <w:t>The Audit Trail Across Departments: Kitchen to Boardroom</w:t>
      </w:r>
    </w:p>
    <w:p>
      <w:pPr>
        <w:spacing w:after="120" w:before="0"/>
      </w:pPr>
      <w:r>
        <w:rPr>
          <w:rFonts w:ascii="Aptos" w:hAnsi="Aptos" w:cs="Aptos" w:eastAsia="Aptos"/>
          <w:b w:val="0"/>
          <w:i/>
          <w:color w:val="5A5A5A"/>
          <w:sz w:val="17"/>
        </w:rPr>
        <w:t>Source: Francesco Dore, The Helm and the Lens, Volume 1b — ISO 14001:2026, subchapter 3.13</w:t>
      </w:r>
    </w:p>
    <w:tbl>
      <w:tblPr>
        <w:jc w:val="center"/>
        <w:tblLook w:firstColumn="1" w:firstRow="1" w:lastColumn="0" w:lastRow="0" w:noHBand="0" w:noVBand="1" w:val="04A0"/>
        <w:tblLayout w:type="fixed"/>
        <w:tblW w:w="9639" w:type="dxa"/>
      </w:tblPr>
      <w:tblGrid>
        <w:gridCol w:w="9639"/>
      </w:tblGrid>
      <w:tr>
        <w:trPr>
          <w:cantSplit w:val="true"/>
        </w:trPr>
        <w:tc>
          <w:tcPr>
            <w:tcW w:type="dxa" w:w="9638"/>
            <w:shd w:val="clear" w:color="auto" w:fill="F3EFE6"/>
            <w:tcMar>
              <w:top w:w="120" w:type="dxa"/>
              <w:bottom w:w="120" w:type="dxa"/>
              <w:start w:w="200" w:type="dxa"/>
              <w:end w:w="160" w:type="dxa"/>
              <w:left w:w="200" w:type="dxa"/>
              <w:right w:w="160" w:type="dxa"/>
            </w:tcMar>
            <w:tcBorders>
              <w:left w:val="single" w:sz="24" w:space="0" w:color="9A7B2E"/>
              <w:top w:val="nil" w:sz="0" w:space="0" w:color="auto"/>
              <w:bottom w:val="nil" w:sz="0" w:space="0" w:color="auto"/>
              <w:right w:val="nil" w:sz="0" w:space="0" w:color="auto"/>
            </w:tcBorders>
          </w:tcPr>
          <w:p>
            <w:pPr>
              <w:spacing w:after="0"/>
            </w:pPr>
            <w:r>
              <w:rPr>
                <w:rFonts w:ascii="Aptos" w:hAnsi="Aptos" w:cs="Aptos" w:eastAsia="Aptos"/>
                <w:b/>
                <w:i w:val="0"/>
                <w:color w:val="9A7B2E"/>
                <w:sz w:val="17"/>
              </w:rPr>
              <w:t>GUIDING QUESTION</w:t>
              <w:br/>
            </w:r>
            <w:r>
              <w:rPr>
                <w:rFonts w:ascii="Aptos" w:hAnsi="Aptos" w:cs="Aptos" w:eastAsia="Aptos"/>
                <w:b w:val="0"/>
                <w:i/>
                <w:color w:val="1B2A4A"/>
                <w:sz w:val="23"/>
              </w:rPr>
              <w:t>Your policy commits the property to reducing water use. Whose Tuesday does that commitment appear in?</w:t>
            </w:r>
          </w:p>
        </w:tc>
      </w:tr>
    </w:tbl>
    <w:p>
      <w:pPr>
        <w:spacing w:after="40" w:before="0"/>
      </w:pPr>
    </w:p>
    <w:p>
      <w:pPr>
        <w:keepNext/>
        <w:spacing w:after="80" w:before="240"/>
        <w:pBdr>
          <w:bottom w:val="single" w:sz="4" w:space="4" w:color="C9BBA6"/>
        </w:pBdr>
      </w:pPr>
      <w:r>
        <w:rPr>
          <w:rFonts w:ascii="Aptos" w:hAnsi="Aptos" w:cs="Aptos" w:eastAsia="Aptos"/>
          <w:b/>
          <w:i w:val="0"/>
          <w:color w:val="1B2A4A"/>
          <w:sz w:val="25"/>
        </w:rPr>
        <w:t>1 · Verification Pact</w:t>
      </w:r>
    </w:p>
    <w:p>
      <w:pPr>
        <w:keepNext/>
        <w:spacing w:after="120" w:before="0"/>
      </w:pPr>
      <w:r>
        <w:rPr>
          <w:rFonts w:ascii="Aptos" w:hAnsi="Aptos" w:cs="Aptos" w:eastAsia="Aptos"/>
          <w:b w:val="0"/>
          <w:i/>
          <w:color w:val="4A4A4A"/>
          <w:sz w:val="19"/>
        </w:rPr>
        <w:t>Copied from the book. The third column is for your property: what holds here, and how you know.</w:t>
      </w:r>
    </w:p>
    <w:tbl>
      <w:tblPr>
        <w:jc w:val="center"/>
        <w:tblLook w:firstColumn="1" w:firstRow="1" w:lastColumn="0" w:lastRow="0" w:noHBand="0" w:noVBand="1" w:val="04A0"/>
        <w:tblLayout w:type="fixed"/>
        <w:tblBorders>
          <w:top w:val="single" w:sz="4" w:space="0" w:color="C9BBA6"/>
          <w:left w:val="single" w:sz="4" w:space="0" w:color="C9BBA6"/>
          <w:bottom w:val="single" w:sz="4" w:space="0" w:color="C9BBA6"/>
          <w:right w:val="single" w:sz="4" w:space="0" w:color="C9BBA6"/>
          <w:insideH w:val="single" w:sz="4" w:space="0" w:color="C9BBA6"/>
          <w:insideV w:val="single" w:sz="4" w:space="0" w:color="C9BBA6"/>
        </w:tblBorders>
        <w:tblW w:w="9639" w:type="dxa"/>
      </w:tblPr>
      <w:tblGrid>
        <w:gridCol w:w="3061"/>
        <w:gridCol w:w="3969"/>
        <w:gridCol w:w="2608"/>
      </w:tblGrid>
      <w:tr>
        <w:trPr>
          <w:tblHeader w:val="true"/>
          <w:cantSplit w:val="true"/>
        </w:trPr>
        <w:tc>
          <w:tcPr>
            <w:tcW w:type="dxa" w:w="3061"/>
            <w:shd w:val="clear" w:color="auto" w:fill="1B2A4A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cs="Aptos" w:eastAsia="Aptos"/>
                <w:b/>
                <w:i w:val="0"/>
                <w:color w:val="FFFFFF"/>
                <w:sz w:val="18"/>
              </w:rPr>
              <w:t>Market claim</w:t>
            </w:r>
          </w:p>
        </w:tc>
        <w:tc>
          <w:tcPr>
            <w:tcW w:type="dxa" w:w="3969"/>
            <w:shd w:val="clear" w:color="auto" w:fill="1B2A4A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cs="Aptos" w:eastAsia="Aptos"/>
                <w:b/>
                <w:i w:val="0"/>
                <w:color w:val="FFFFFF"/>
                <w:sz w:val="18"/>
              </w:rPr>
              <w:t>What actually holds</w:t>
            </w:r>
          </w:p>
        </w:tc>
        <w:tc>
          <w:tcPr>
            <w:tcW w:type="dxa" w:w="2608"/>
            <w:shd w:val="clear" w:color="auto" w:fill="1B2A4A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cs="Aptos" w:eastAsia="Aptos"/>
                <w:b/>
                <w:i w:val="0"/>
                <w:color w:val="FFFFFF"/>
                <w:sz w:val="18"/>
              </w:rPr>
              <w:t>In our property</w:t>
            </w:r>
          </w:p>
        </w:tc>
      </w:tr>
      <w:tr>
        <w:trPr>
          <w:cantSplit w:val="true"/>
        </w:trPr>
        <w:tc>
          <w:tcPr>
            <w:tcW w:type="dxa" w:w="3061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“Internal audit examines operations; leadership clauses are for the certification body.”</w:t>
            </w:r>
          </w:p>
        </w:tc>
        <w:tc>
          <w:tcPr>
            <w:tcW w:type="dxa" w:w="3969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Nothing restricts internal audit scope in that way; leadership requirements are part of the management system the audit exists to examine.</w:t>
            </w:r>
          </w:p>
        </w:tc>
        <w:tc>
          <w:tcPr>
            <w:tcW w:type="dxa" w:w="2608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</w:tr>
      <w:tr>
        <w:trPr>
          <w:cantSplit w:val="true"/>
        </w:trPr>
        <w:tc>
          <w:tcPr>
            <w:tcW w:type="dxa" w:w="3061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“The management review cannot be audited because it is the review itself.”</w:t>
            </w:r>
          </w:p>
        </w:tc>
        <w:tc>
          <w:tcPr>
            <w:tcW w:type="dxa" w:w="3969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The review is a required process with defined inputs and outputs, and is auditable like any other.</w:t>
            </w:r>
          </w:p>
        </w:tc>
        <w:tc>
          <w:tcPr>
            <w:tcW w:type="dxa" w:w="2608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</w:tr>
      <w:tr>
        <w:trPr>
          <w:cantSplit w:val="true"/>
        </w:trPr>
        <w:tc>
          <w:tcPr>
            <w:tcW w:type="dxa" w:w="3061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“An objective is satisfied by a target and a date.”</w:t>
            </w:r>
          </w:p>
        </w:tc>
        <w:tc>
          <w:tcPr>
            <w:tcW w:type="dxa" w:w="3969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The planning requirement also names what will be done, what resources, who is responsible, and how results will be evaluated.</w:t>
            </w:r>
          </w:p>
        </w:tc>
        <w:tc>
          <w:tcPr>
            <w:tcW w:type="dxa" w:w="2608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</w:tr>
      <w:tr>
        <w:trPr>
          <w:cantSplit w:val="true"/>
        </w:trPr>
        <w:tc>
          <w:tcPr>
            <w:tcW w:type="dxa" w:w="3061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“Awareness is demonstrated by a signed training record.”</w:t>
            </w:r>
          </w:p>
        </w:tc>
        <w:tc>
          <w:tcPr>
            <w:tcW w:type="dxa" w:w="3969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The requirement is that persons be aware of the policy, their significant aspects, their contribution and the implications — a signature evidences attendance, not awareness.</w:t>
            </w:r>
          </w:p>
        </w:tc>
        <w:tc>
          <w:tcPr>
            <w:tcW w:type="dxa" w:w="2608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</w:tr>
      <w:tr>
        <w:trPr>
          <w:cantSplit w:val="true"/>
        </w:trPr>
        <w:tc>
          <w:tcPr>
            <w:tcW w:type="dxa" w:w="3061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“Good practice above the required level cannot be a nonconformity.”</w:t>
            </w:r>
          </w:p>
        </w:tc>
        <w:tc>
          <w:tcPr>
            <w:tcW w:type="dxa" w:w="3969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Whether a practice conforms is one question; whether the system knows about it, resourced it and can sustain it is another, and the second can fail.</w:t>
            </w:r>
          </w:p>
        </w:tc>
        <w:tc>
          <w:tcPr>
            <w:tcW w:type="dxa" w:w="2608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</w:tr>
    </w:tbl>
    <w:p>
      <w:pPr>
        <w:spacing w:after="80" w:before="0"/>
      </w:pPr>
    </w:p>
    <w:p>
      <w:pPr>
        <w:keepNext/>
        <w:spacing w:after="80" w:before="240"/>
        <w:pBdr>
          <w:bottom w:val="single" w:sz="4" w:space="4" w:color="C9BBA6"/>
        </w:pBdr>
      </w:pPr>
      <w:r>
        <w:rPr>
          <w:rFonts w:ascii="Aptos" w:hAnsi="Aptos" w:cs="Aptos" w:eastAsia="Aptos"/>
          <w:b/>
          <w:i w:val="0"/>
          <w:color w:val="1B2A4A"/>
          <w:sz w:val="25"/>
        </w:rPr>
        <w:t>2 · Common mistakes — a self-check</w:t>
      </w:r>
    </w:p>
    <w:p>
      <w:pPr>
        <w:keepNext/>
        <w:spacing w:after="120" w:before="0"/>
      </w:pPr>
      <w:r>
        <w:rPr>
          <w:rFonts w:ascii="Aptos" w:hAnsi="Aptos" w:cs="Aptos" w:eastAsia="Aptos"/>
          <w:b w:val="0"/>
          <w:i/>
          <w:color w:val="4A4A4A"/>
          <w:sz w:val="19"/>
        </w:rPr>
        <w:t>Tick each mistake you recognise in your own property. The consequence is the book’s.</w:t>
      </w:r>
    </w:p>
    <w:p>
      <w:pPr>
        <w:spacing w:after="100"/>
        <w:ind w:left="340" w:hanging="340"/>
      </w:pPr>
      <w:r>
        <w:rPr>
          <w:rFonts w:ascii="Aptos" w:hAnsi="Aptos" w:cs="Aptos" w:eastAsia="Aptos"/>
          <w:b/>
          <w:i w:val="0"/>
          <w:color w:val="1B2A4A"/>
          <w:sz w:val="20"/>
        </w:rPr>
        <w:t xml:space="preserve">☐  </w:t>
      </w:r>
      <w:r>
        <w:rPr>
          <w:rFonts w:ascii="Aptos" w:hAnsi="Aptos" w:cs="Aptos" w:eastAsia="Aptos"/>
          <w:b/>
          <w:i w:val="0"/>
          <w:color w:val="1B2A4A"/>
          <w:sz w:val="20"/>
        </w:rPr>
        <w:t>Auditing only at operational altitude</w:t>
      </w:r>
      <w:r>
        <w:rPr>
          <w:rFonts w:ascii="Aptos" w:hAnsi="Aptos" w:cs="Aptos" w:eastAsia="Aptos"/>
          <w:b w:val="0"/>
          <w:i w:val="0"/>
          <w:color w:val="222222"/>
          <w:sz w:val="20"/>
        </w:rPr>
        <w:t xml:space="preserve"> — Practice is established; whether the system asked for it is never examined.</w:t>
      </w:r>
    </w:p>
    <w:p>
      <w:pPr>
        <w:spacing w:after="100"/>
        <w:ind w:left="340" w:hanging="340"/>
      </w:pPr>
      <w:r>
        <w:rPr>
          <w:rFonts w:ascii="Aptos" w:hAnsi="Aptos" w:cs="Aptos" w:eastAsia="Aptos"/>
          <w:b/>
          <w:i w:val="0"/>
          <w:color w:val="1B2A4A"/>
          <w:sz w:val="20"/>
        </w:rPr>
        <w:t xml:space="preserve">☐  </w:t>
      </w:r>
      <w:r>
        <w:rPr>
          <w:rFonts w:ascii="Aptos" w:hAnsi="Aptos" w:cs="Aptos" w:eastAsia="Aptos"/>
          <w:b/>
          <w:i w:val="0"/>
          <w:color w:val="1B2A4A"/>
          <w:sz w:val="20"/>
        </w:rPr>
        <w:t>Auditing only at documentary altitude</w:t>
      </w:r>
      <w:r>
        <w:rPr>
          <w:rFonts w:ascii="Aptos" w:hAnsi="Aptos" w:cs="Aptos" w:eastAsia="Aptos"/>
          <w:b w:val="0"/>
          <w:i w:val="0"/>
          <w:color w:val="222222"/>
          <w:sz w:val="20"/>
        </w:rPr>
        <w:t xml:space="preserve"> — Complete tables that have never reached anyone’s working day.</w:t>
      </w:r>
    </w:p>
    <w:p>
      <w:pPr>
        <w:spacing w:after="100"/>
        <w:ind w:left="340" w:hanging="340"/>
      </w:pPr>
      <w:r>
        <w:rPr>
          <w:rFonts w:ascii="Aptos" w:hAnsi="Aptos" w:cs="Aptos" w:eastAsia="Aptos"/>
          <w:b/>
          <w:i w:val="0"/>
          <w:color w:val="1B2A4A"/>
          <w:sz w:val="20"/>
        </w:rPr>
        <w:t xml:space="preserve">☐  </w:t>
      </w:r>
      <w:r>
        <w:rPr>
          <w:rFonts w:ascii="Aptos" w:hAnsi="Aptos" w:cs="Aptos" w:eastAsia="Aptos"/>
          <w:b/>
          <w:i w:val="0"/>
          <w:color w:val="1B2A4A"/>
          <w:sz w:val="20"/>
        </w:rPr>
        <w:t>Treating leadership clauses as the certification body’s territory</w:t>
      </w:r>
      <w:r>
        <w:rPr>
          <w:rFonts w:ascii="Aptos" w:hAnsi="Aptos" w:cs="Aptos" w:eastAsia="Aptos"/>
          <w:b w:val="0"/>
          <w:i w:val="0"/>
          <w:color w:val="222222"/>
          <w:sz w:val="20"/>
        </w:rPr>
        <w:t xml:space="preserve"> — A substantial portion of the standard never internally examined.</w:t>
      </w:r>
    </w:p>
    <w:p>
      <w:pPr>
        <w:spacing w:after="100"/>
        <w:ind w:left="340" w:hanging="340"/>
      </w:pPr>
      <w:r>
        <w:rPr>
          <w:rFonts w:ascii="Aptos" w:hAnsi="Aptos" w:cs="Aptos" w:eastAsia="Aptos"/>
          <w:b/>
          <w:i w:val="0"/>
          <w:color w:val="1B2A4A"/>
          <w:sz w:val="20"/>
        </w:rPr>
        <w:t xml:space="preserve">☐  </w:t>
      </w:r>
      <w:r>
        <w:rPr>
          <w:rFonts w:ascii="Aptos" w:hAnsi="Aptos" w:cs="Aptos" w:eastAsia="Aptos"/>
          <w:b/>
          <w:i w:val="0"/>
          <w:color w:val="1B2A4A"/>
          <w:sz w:val="20"/>
        </w:rPr>
        <w:t>Accepting a target and a date as an objective</w:t>
      </w:r>
      <w:r>
        <w:rPr>
          <w:rFonts w:ascii="Aptos" w:hAnsi="Aptos" w:cs="Aptos" w:eastAsia="Aptos"/>
          <w:b w:val="0"/>
          <w:i w:val="0"/>
          <w:color w:val="222222"/>
          <w:sz w:val="20"/>
        </w:rPr>
        <w:t xml:space="preserve"> — Four of the five planning elements missing, and no mechanism.</w:t>
      </w:r>
    </w:p>
    <w:p>
      <w:pPr>
        <w:spacing w:after="100"/>
        <w:ind w:left="340" w:hanging="340"/>
      </w:pPr>
      <w:r>
        <w:rPr>
          <w:rFonts w:ascii="Aptos" w:hAnsi="Aptos" w:cs="Aptos" w:eastAsia="Aptos"/>
          <w:b/>
          <w:i w:val="0"/>
          <w:color w:val="1B2A4A"/>
          <w:sz w:val="20"/>
        </w:rPr>
        <w:t xml:space="preserve">☐  </w:t>
      </w:r>
      <w:r>
        <w:rPr>
          <w:rFonts w:ascii="Aptos" w:hAnsi="Aptos" w:cs="Aptos" w:eastAsia="Aptos"/>
          <w:b/>
          <w:i w:val="0"/>
          <w:color w:val="1B2A4A"/>
          <w:sz w:val="20"/>
        </w:rPr>
        <w:t>Declining to raise an orphan good practice</w:t>
      </w:r>
      <w:r>
        <w:rPr>
          <w:rFonts w:ascii="Aptos" w:hAnsi="Aptos" w:cs="Aptos" w:eastAsia="Aptos"/>
          <w:b w:val="0"/>
          <w:i w:val="0"/>
          <w:color w:val="222222"/>
          <w:sz w:val="20"/>
        </w:rPr>
        <w:t xml:space="preserve"> — A stated objective delivered by an arrangement the property does not know it has.</w:t>
      </w:r>
    </w:p>
    <w:p>
      <w:pPr>
        <w:spacing w:after="100"/>
        <w:ind w:left="340" w:hanging="340"/>
      </w:pPr>
      <w:r>
        <w:rPr>
          <w:rFonts w:ascii="Aptos" w:hAnsi="Aptos" w:cs="Aptos" w:eastAsia="Aptos"/>
          <w:b/>
          <w:i w:val="0"/>
          <w:color w:val="1B2A4A"/>
          <w:sz w:val="20"/>
        </w:rPr>
        <w:t xml:space="preserve">☐  </w:t>
      </w:r>
      <w:r>
        <w:rPr>
          <w:rFonts w:ascii="Aptos" w:hAnsi="Aptos" w:cs="Aptos" w:eastAsia="Aptos"/>
          <w:b/>
          <w:i w:val="0"/>
          <w:color w:val="1B2A4A"/>
          <w:sz w:val="20"/>
        </w:rPr>
        <w:t>Aiming a vertical finding at the person who wrote the document</w:t>
      </w:r>
      <w:r>
        <w:rPr>
          <w:rFonts w:ascii="Aptos" w:hAnsi="Aptos" w:cs="Aptos" w:eastAsia="Aptos"/>
          <w:b w:val="0"/>
          <w:i w:val="0"/>
          <w:color w:val="222222"/>
          <w:sz w:val="20"/>
        </w:rPr>
        <w:t xml:space="preserve"> — Defensiveness, and a finding that becomes about authorship.</w:t>
      </w:r>
    </w:p>
    <w:p>
      <w:pPr>
        <w:spacing w:after="100"/>
        <w:ind w:left="340" w:hanging="340"/>
      </w:pPr>
      <w:r>
        <w:rPr>
          <w:rFonts w:ascii="Aptos" w:hAnsi="Aptos" w:cs="Aptos" w:eastAsia="Aptos"/>
          <w:b/>
          <w:i w:val="0"/>
          <w:color w:val="1B2A4A"/>
          <w:sz w:val="20"/>
        </w:rPr>
        <w:t xml:space="preserve">☐  </w:t>
      </w:r>
      <w:r>
        <w:rPr>
          <w:rFonts w:ascii="Aptos" w:hAnsi="Aptos" w:cs="Aptos" w:eastAsia="Aptos"/>
          <w:b/>
          <w:i w:val="0"/>
          <w:color w:val="1B2A4A"/>
          <w:sz w:val="20"/>
        </w:rPr>
        <w:t>Tracing every thread at once</w:t>
      </w:r>
      <w:r>
        <w:rPr>
          <w:rFonts w:ascii="Aptos" w:hAnsi="Aptos" w:cs="Aptos" w:eastAsia="Aptos"/>
          <w:b w:val="0"/>
          <w:i w:val="0"/>
          <w:color w:val="222222"/>
          <w:sz w:val="20"/>
        </w:rPr>
        <w:t xml:space="preserve"> — A survey rather than an audit, and no link examined properly.</w:t>
      </w:r>
    </w:p>
    <w:p>
      <w:pPr>
        <w:keepNext/>
        <w:spacing w:after="80" w:before="240"/>
        <w:pBdr>
          <w:bottom w:val="single" w:sz="4" w:space="4" w:color="C9BBA6"/>
        </w:pBdr>
      </w:pPr>
      <w:r>
        <w:rPr>
          <w:rFonts w:ascii="Aptos" w:hAnsi="Aptos" w:cs="Aptos" w:eastAsia="Aptos"/>
          <w:b/>
          <w:i w:val="0"/>
          <w:color w:val="1B2A4A"/>
          <w:sz w:val="25"/>
        </w:rPr>
        <w:t>3 · What an auditor would ask to see</w:t>
      </w:r>
    </w:p>
    <w:p>
      <w:pPr>
        <w:keepNext/>
        <w:spacing w:after="120" w:before="0"/>
      </w:pPr>
      <w:r>
        <w:rPr>
          <w:rFonts w:ascii="Aptos" w:hAnsi="Aptos" w:cs="Aptos" w:eastAsia="Aptos"/>
          <w:b w:val="0"/>
          <w:i/>
          <w:color w:val="4A4A4A"/>
          <w:sz w:val="19"/>
        </w:rPr>
        <w:t>Questions drawn from the subchapter’s reading of the standard and its practical application. They are questions to test your own evidence, not additional requirements.</w:t>
      </w:r>
    </w:p>
    <w:tbl>
      <w:tblPr>
        <w:jc w:val="center"/>
        <w:tblLook w:firstColumn="1" w:firstRow="1" w:lastColumn="0" w:lastRow="0" w:noHBand="0" w:noVBand="1" w:val="04A0"/>
        <w:tblLayout w:type="fixed"/>
        <w:tblBorders>
          <w:top w:val="single" w:sz="4" w:space="0" w:color="C9BBA6"/>
          <w:left w:val="single" w:sz="4" w:space="0" w:color="C9BBA6"/>
          <w:bottom w:val="single" w:sz="4" w:space="0" w:color="C9BBA6"/>
          <w:right w:val="single" w:sz="4" w:space="0" w:color="C9BBA6"/>
          <w:insideH w:val="single" w:sz="4" w:space="0" w:color="C9BBA6"/>
          <w:insideV w:val="single" w:sz="4" w:space="0" w:color="C9BBA6"/>
        </w:tblBorders>
        <w:tblW w:w="9639" w:type="dxa"/>
      </w:tblPr>
      <w:tblGrid>
        <w:gridCol w:w="5216"/>
        <w:gridCol w:w="3175"/>
        <w:gridCol w:w="1247"/>
      </w:tblGrid>
      <w:tr>
        <w:trPr>
          <w:tblHeader w:val="true"/>
          <w:cantSplit w:val="true"/>
        </w:trPr>
        <w:tc>
          <w:tcPr>
            <w:tcW w:type="dxa" w:w="5216"/>
            <w:shd w:val="clear" w:color="auto" w:fill="1B2A4A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cs="Aptos" w:eastAsia="Aptos"/>
                <w:b/>
                <w:i w:val="0"/>
                <w:color w:val="FFFFFF"/>
                <w:sz w:val="18"/>
              </w:rPr>
              <w:t>Question</w:t>
            </w:r>
          </w:p>
        </w:tc>
        <w:tc>
          <w:tcPr>
            <w:tcW w:type="dxa" w:w="3175"/>
            <w:shd w:val="clear" w:color="auto" w:fill="1B2A4A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cs="Aptos" w:eastAsia="Aptos"/>
                <w:b/>
                <w:i w:val="0"/>
                <w:color w:val="FFFFFF"/>
                <w:sz w:val="18"/>
              </w:rPr>
              <w:t>Where the evidence lives</w:t>
            </w:r>
          </w:p>
        </w:tc>
        <w:tc>
          <w:tcPr>
            <w:tcW w:type="dxa" w:w="1247"/>
            <w:shd w:val="clear" w:color="auto" w:fill="1B2A4A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cs="Aptos" w:eastAsia="Aptos"/>
                <w:b/>
                <w:i w:val="0"/>
                <w:color w:val="FFFFFF"/>
                <w:sz w:val="18"/>
              </w:rPr>
              <w:t>Seen?</w:t>
            </w:r>
          </w:p>
        </w:tc>
      </w:tr>
      <w:tr>
        <w:trPr>
          <w:cantSplit w:val="true"/>
        </w:trPr>
        <w:tc>
          <w:tcPr>
            <w:tcW w:type="dxa" w:w="5216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For each environmental objective, where are what will be done, the resources, who is responsible, when, and how results will be evaluated?</w:t>
            </w:r>
          </w:p>
        </w:tc>
        <w:tc>
          <w:tcPr>
            <w:tcW w:type="dxa" w:w="3175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Objectives and action plans</w:t>
            </w:r>
          </w:p>
        </w:tc>
        <w:tc>
          <w:tcPr>
            <w:tcW w:type="dxa" w:w="1247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</w:tr>
      <w:tr>
        <w:trPr>
          <w:cantSplit w:val="true"/>
        </w:trPr>
        <w:tc>
          <w:tcPr>
            <w:tcW w:type="dxa" w:w="5216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Can the person named as responsible describe the objective and show where it appears in their work?</w:t>
            </w:r>
          </w:p>
        </w:tc>
        <w:tc>
          <w:tcPr>
            <w:tcW w:type="dxa" w:w="3175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Interview; work schedules</w:t>
            </w:r>
          </w:p>
        </w:tc>
        <w:tc>
          <w:tcPr>
            <w:tcW w:type="dxa" w:w="1247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</w:tr>
      <w:tr>
        <w:trPr>
          <w:cantSplit w:val="true"/>
        </w:trPr>
        <w:tc>
          <w:tcPr>
            <w:tcW w:type="dxa" w:w="5216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Have the policy, the objectives and the management review been within the scope of internal audit?</w:t>
            </w:r>
          </w:p>
        </w:tc>
        <w:tc>
          <w:tcPr>
            <w:tcW w:type="dxa" w:w="3175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Audit programme; audit plans</w:t>
            </w:r>
          </w:p>
        </w:tc>
        <w:tc>
          <w:tcPr>
            <w:tcW w:type="dxa" w:w="1247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</w:tr>
      <w:tr>
        <w:trPr>
          <w:cantSplit w:val="true"/>
        </w:trPr>
        <w:tc>
          <w:tcPr>
            <w:tcW w:type="dxa" w:w="5216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Which operational document carries each policy commitment to the people doing the work, and by what route can the environmental system change it?</w:t>
            </w:r>
          </w:p>
        </w:tc>
        <w:tc>
          <w:tcPr>
            <w:tcW w:type="dxa" w:w="3175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Operational standards; document change route</w:t>
            </w:r>
          </w:p>
        </w:tc>
        <w:tc>
          <w:tcPr>
            <w:tcW w:type="dxa" w:w="1247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</w:tr>
      <w:tr>
        <w:trPr>
          <w:cantSplit w:val="true"/>
        </w:trPr>
        <w:tc>
          <w:tcPr>
            <w:tcW w:type="dxa" w:w="5216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Are practices that affect monitored performance recorded and visible to management?</w:t>
            </w:r>
          </w:p>
        </w:tc>
        <w:tc>
          <w:tcPr>
            <w:tcW w:type="dxa" w:w="3175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Procedures; management review records</w:t>
            </w:r>
          </w:p>
        </w:tc>
        <w:tc>
          <w:tcPr>
            <w:tcW w:type="dxa" w:w="1247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</w:tr>
    </w:tbl>
    <w:p>
      <w:pPr>
        <w:spacing w:after="80" w:before="0"/>
      </w:pPr>
    </w:p>
    <w:p>
      <w:pPr>
        <w:keepNext/>
        <w:spacing w:after="80" w:before="240"/>
        <w:pBdr>
          <w:bottom w:val="single" w:sz="4" w:space="4" w:color="C9BBA6"/>
        </w:pBdr>
      </w:pPr>
      <w:r>
        <w:rPr>
          <w:rFonts w:ascii="Aptos" w:hAnsi="Aptos" w:cs="Aptos" w:eastAsia="Aptos"/>
          <w:b/>
          <w:i w:val="0"/>
          <w:color w:val="1B2A4A"/>
          <w:sz w:val="25"/>
        </w:rPr>
        <w:t>4 · From the Operative Synthesis to action</w:t>
      </w:r>
    </w:p>
    <w:p>
      <w:pPr>
        <w:keepNext/>
        <w:spacing w:after="120" w:before="0"/>
      </w:pPr>
      <w:r>
        <w:rPr>
          <w:rFonts w:ascii="Aptos" w:hAnsi="Aptos" w:cs="Aptos" w:eastAsia="Aptos"/>
          <w:b w:val="0"/>
          <w:i/>
          <w:color w:val="4A4A4A"/>
          <w:sz w:val="19"/>
        </w:rPr>
        <w:t>Concrete actions taken from the subchapter’s Operative Synthesis. Fill in the owner and the date in your property.</w:t>
      </w:r>
    </w:p>
    <w:tbl>
      <w:tblPr>
        <w:jc w:val="center"/>
        <w:tblLook w:firstColumn="1" w:firstRow="1" w:lastColumn="0" w:lastRow="0" w:noHBand="0" w:noVBand="1" w:val="04A0"/>
        <w:tblLayout w:type="fixed"/>
        <w:tblBorders>
          <w:top w:val="single" w:sz="4" w:space="0" w:color="C9BBA6"/>
          <w:left w:val="single" w:sz="4" w:space="0" w:color="C9BBA6"/>
          <w:bottom w:val="single" w:sz="4" w:space="0" w:color="C9BBA6"/>
          <w:right w:val="single" w:sz="4" w:space="0" w:color="C9BBA6"/>
          <w:insideH w:val="single" w:sz="4" w:space="0" w:color="C9BBA6"/>
          <w:insideV w:val="single" w:sz="4" w:space="0" w:color="C9BBA6"/>
        </w:tblBorders>
        <w:tblW w:w="9639" w:type="dxa"/>
      </w:tblPr>
      <w:tblGrid>
        <w:gridCol w:w="6237"/>
        <w:gridCol w:w="2041"/>
        <w:gridCol w:w="1360"/>
      </w:tblGrid>
      <w:tr>
        <w:trPr>
          <w:tblHeader w:val="true"/>
          <w:cantSplit w:val="true"/>
        </w:trPr>
        <w:tc>
          <w:tcPr>
            <w:tcW w:type="dxa" w:w="6236"/>
            <w:shd w:val="clear" w:color="auto" w:fill="1B2A4A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cs="Aptos" w:eastAsia="Aptos"/>
                <w:b/>
                <w:i w:val="0"/>
                <w:color w:val="FFFFFF"/>
                <w:sz w:val="18"/>
              </w:rPr>
              <w:t>Action</w:t>
            </w:r>
          </w:p>
        </w:tc>
        <w:tc>
          <w:tcPr>
            <w:tcW w:type="dxa" w:w="2041"/>
            <w:shd w:val="clear" w:color="auto" w:fill="1B2A4A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cs="Aptos" w:eastAsia="Aptos"/>
                <w:b/>
                <w:i w:val="0"/>
                <w:color w:val="FFFFFF"/>
                <w:sz w:val="18"/>
              </w:rPr>
              <w:t>Owner</w:t>
            </w:r>
          </w:p>
        </w:tc>
        <w:tc>
          <w:tcPr>
            <w:tcW w:type="dxa" w:w="1361"/>
            <w:shd w:val="clear" w:color="auto" w:fill="1B2A4A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cs="Aptos" w:eastAsia="Aptos"/>
                <w:b/>
                <w:i w:val="0"/>
                <w:color w:val="FFFFFF"/>
                <w:sz w:val="18"/>
              </w:rPr>
              <w:t>Due date</w:t>
            </w:r>
          </w:p>
        </w:tc>
      </w:tr>
      <w:tr>
        <w:trPr>
          <w:cantSplit w:val="true"/>
        </w:trPr>
        <w:tc>
          <w:tcPr>
            <w:tcW w:type="dxa" w:w="6236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1.  Trace one thread upward from a practice: who asked for this, what were they given, does anyone above know?</w:t>
            </w:r>
          </w:p>
        </w:tc>
        <w:tc>
          <w:tcPr>
            <w:tcW w:type="dxa" w:w="2041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  <w:tc>
          <w:tcPr>
            <w:tcW w:type="dxa" w:w="1361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</w:tr>
      <w:tr>
        <w:trPr>
          <w:cantSplit w:val="true"/>
        </w:trPr>
        <w:tc>
          <w:tcPr>
            <w:tcW w:type="dxa" w:w="6236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2.  Trace one thread downward from a commitment: whose day does it appear in, and can they describe it?</w:t>
            </w:r>
          </w:p>
        </w:tc>
        <w:tc>
          <w:tcPr>
            <w:tcW w:type="dxa" w:w="2041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  <w:tc>
          <w:tcPr>
            <w:tcW w:type="dxa" w:w="1361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</w:tr>
      <w:tr>
        <w:trPr>
          <w:cantSplit w:val="true"/>
        </w:trPr>
        <w:tc>
          <w:tcPr>
            <w:tcW w:type="dxa" w:w="6236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3.  Check the joint between each objective and the operational standard that tells someone what to do in a room.</w:t>
            </w:r>
          </w:p>
        </w:tc>
        <w:tc>
          <w:tcPr>
            <w:tcW w:type="dxa" w:w="2041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  <w:tc>
          <w:tcPr>
            <w:tcW w:type="dxa" w:w="1361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</w:tr>
      <w:tr>
        <w:trPr>
          <w:cantSplit w:val="true"/>
        </w:trPr>
        <w:tc>
          <w:tcPr>
            <w:tcW w:type="dxa" w:w="6236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  <w:t>4.  Where a commitment has not reached that document, establish the route by which it can.</w:t>
            </w:r>
          </w:p>
        </w:tc>
        <w:tc>
          <w:tcPr>
            <w:tcW w:type="dxa" w:w="2041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  <w:tc>
          <w:tcPr>
            <w:tcW w:type="dxa" w:w="1361"/>
            <w:tcMar>
              <w:top w:w="60" w:type="dxa"/>
              <w:bottom w:w="60" w:type="dxa"/>
              <w:start w:w="90" w:type="dxa"/>
              <w:end w:w="90" w:type="dxa"/>
              <w:left w:w="90" w:type="dxa"/>
              <w:right w:w="90" w:type="dxa"/>
            </w:tcMar>
            <w:shd w:val="clear" w:color="auto" w:fill="F3EFE6"/>
          </w:tcPr>
          <w:p>
            <w:pPr>
              <w:spacing w:after="0" w:line="259" w:lineRule="auto"/>
            </w:pPr>
            <w:r>
              <w:rPr>
                <w:rFonts w:ascii="Aptos" w:hAnsi="Aptos" w:cs="Aptos" w:eastAsia="Aptos"/>
                <w:b w:val="0"/>
                <w:i w:val="0"/>
                <w:color w:val="222222"/>
                <w:sz w:val="18"/>
              </w:rPr>
            </w:r>
          </w:p>
        </w:tc>
      </w:tr>
    </w:tbl>
    <w:p>
      <w:pPr>
        <w:spacing w:after="80" w:before="0"/>
      </w:pPr>
    </w:p>
    <w:tbl>
      <w:tblPr>
        <w:jc w:val="center"/>
        <w:tblLook w:firstColumn="1" w:firstRow="1" w:lastColumn="0" w:lastRow="0" w:noHBand="0" w:noVBand="1" w:val="04A0"/>
        <w:tblLayout w:type="fixed"/>
        <w:tblW w:w="9639" w:type="dxa"/>
      </w:tblPr>
      <w:tblGrid>
        <w:gridCol w:w="9639"/>
      </w:tblGrid>
      <w:tr>
        <w:trPr>
          <w:cantSplit w:val="true"/>
        </w:trPr>
        <w:tc>
          <w:tcPr>
            <w:tcW w:type="dxa" w:w="9638"/>
            <w:shd w:val="clear" w:color="auto" w:fill="F3EFE6"/>
            <w:tcMar>
              <w:top w:w="120" w:type="dxa"/>
              <w:bottom w:w="120" w:type="dxa"/>
              <w:start w:w="200" w:type="dxa"/>
              <w:end w:w="160" w:type="dxa"/>
              <w:left w:w="200" w:type="dxa"/>
              <w:right w:w="160" w:type="dxa"/>
            </w:tcMar>
            <w:tcBorders>
              <w:left w:val="single" w:sz="24" w:space="0" w:color="1B2A4A"/>
              <w:top w:val="nil" w:sz="0" w:space="0" w:color="auto"/>
              <w:bottom w:val="nil" w:sz="0" w:space="0" w:color="auto"/>
              <w:right w:val="nil" w:sz="0" w:space="0" w:color="auto"/>
            </w:tcBorders>
          </w:tcPr>
          <w:p>
            <w:pPr>
              <w:spacing w:after="0"/>
            </w:pPr>
            <w:r>
              <w:rPr>
                <w:rFonts w:ascii="Aptos" w:hAnsi="Aptos" w:cs="Aptos" w:eastAsia="Aptos"/>
                <w:b w:val="0"/>
                <w:i/>
                <w:color w:val="1B2A4A"/>
                <w:sz w:val="18"/>
              </w:rPr>
              <w:t>What this sheet is not: ISO 14001 does not prescribe this form. It is a working aid drawn from the book; the standard and, in Chapter 4, the certification body's own rules and contract govern the real case.</w:t>
            </w:r>
          </w:p>
        </w:tc>
      </w:tr>
    </w:tbl>
    <w:p>
      <w:pPr>
        <w:spacing w:after="40" w:before="0"/>
      </w:pP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134" w:bottom="1134" w:left="1134" w:header="567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r>
      <w:rPr>
        <w:rFonts w:ascii="Aptos" w:hAnsi="Aptos" w:cs="Aptos" w:eastAsia="Aptos"/>
        <w:color w:val="5A5A5A"/>
        <w:sz w:val="16"/>
      </w:rPr>
      <w:t xml:space="preserve">The Helm and the Lens · Working material 3.13 · enbooks.effedore.com · page </w:t>
    </w:r>
    <w:r>
      <w:rPr>
        <w:rFonts w:ascii="Aptos" w:hAnsi="Aptos" w:cs="Aptos" w:eastAsia="Aptos"/>
        <w:color w:val="5A5A5A"/>
        <w:sz w:val="16"/>
      </w:rPr>
    </w:r>
    <w:r>
      <w:rPr>
        <w:rFonts w:ascii="Aptos" w:hAnsi="Aptos" w:cs="Aptos" w:eastAsia="Aptos"/>
        <w:color w:val="5A5A5A"/>
        <w:sz w:val="16"/>
      </w:rPr>
      <w:fldChar w:fldCharType="begin"/>
    </w:r>
    <w:r>
      <w:rPr>
        <w:rFonts w:ascii="Aptos" w:hAnsi="Aptos" w:cs="Aptos" w:eastAsia="Aptos"/>
        <w:color w:val="5A5A5A"/>
        <w:sz w:val="16"/>
      </w:rPr>
      <w:instrText xml:space="preserve"> PAGE </w:instrText>
    </w:r>
    <w:r>
      <w:rPr>
        <w:rFonts w:ascii="Aptos" w:hAnsi="Aptos" w:cs="Aptos" w:eastAsia="Aptos"/>
        <w:color w:val="5A5A5A"/>
        <w:sz w:val="16"/>
      </w:rPr>
      <w:fldChar w:fldCharType="separate"/>
    </w:r>
    <w:r>
      <w:rPr>
        <w:rFonts w:ascii="Aptos" w:hAnsi="Aptos" w:cs="Aptos" w:eastAsia="Aptos"/>
        <w:color w:val="5A5A5A"/>
        <w:sz w:val="16"/>
      </w:rPr>
      <w:t>1</w:t>
    </w:r>
    <w:r>
      <w:rPr>
        <w:rFonts w:ascii="Aptos" w:hAnsi="Aptos" w:cs="Aptos" w:eastAsia="Aptos"/>
        <w:color w:val="5A5A5A"/>
        <w:sz w:val="16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pBdr>
        <w:bottom w:val="single" w:sz="6" w:space="4" w:color="9A7B2E"/>
      </w:pBdr>
    </w:pPr>
    <w:r/>
    <w:r>
      <w:rPr>
        <w:rFonts w:ascii="Aptos" w:hAnsi="Aptos" w:cs="Aptos" w:eastAsia="Aptos"/>
        <w:color w:val="1B2A4A"/>
        <w:sz w:val="17"/>
      </w:rPr>
      <w:t>The Helm and the Lens · Volume 1b · ISO 14001:2026 — The Lens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69" w:lineRule="auto"/>
    </w:pPr>
    <w:rPr>
      <w:rFonts w:ascii="Aptos" w:hAnsi="Aptos" w:cs="Aptos" w:eastAsia="Aptos"/>
      <w:color w:val="222222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Working material 3.13 — The Audit Trail Across Departments: Kitchen to Boardroom</dc:title>
  <dc:subject/>
  <dc:creator>Francesco Dore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