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3.14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Reporting to Management: What Leadership Actually Needs to Hear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3.14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Your audit programme produced twenty-three findings last year. Name one decision that leadership took because of them.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Commonly asserted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the standard supports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results must be presented to management as a scorecard, dashboard or set of KPIs.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format is prescribed. The requirement is that results be reported to relevant management. Counts, closure rates and traffic lights are conventions of practice, not requirements.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number of nonconformities is a required performance indicator.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standard does not require nonconformities to be counted, and — as set out in 3.10 — does not grade them or recognise the category of observation at all.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Reporting means reporting to top management.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clause says relevant management. Departmental management is the relevant recipient of a departmental finding.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If the audit reports are filed and accessible, results have been reported.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Retention of documented information as evidence of the programme and its results is a distinct requirement from the act of reporting the results.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management review must be an annual meeting.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Top management reviews the system at planned intervals. Neither an annual frequency nor a meeting format is specified; the interval is the organisation’s choice, and must be planned.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results are the environmental input to the review.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They are one of several named inputs, alongside objectives, monitoring and measurement, the meeting of compliance obligations, interested-party communications and adequacy of resources.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purpose of the review is to inform leadership.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specified outputs include conclusions on suitability, adequacy and effectiveness, and decisions — including decisions on any need for changes, resources included.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Writing the management report by summarising the audit reports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compression is the error, not the length. A summary of departmental documents produces a departmental document, shorter.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Reporting activity metrics — audits completed, findings raised, closure rate — as if they described the system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They describe the audit function, and the closure rate in particular penalises exactly the findings that most need leadership.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availability as reporting — attaching the full audit reports as an annex nobody reads — or omitting the auditor’s conclusion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reader is left to form a conclusion from whatever number is largest.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Requesting nothing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report with no ask receives no decision, and the minutes will record, accurately, that it was received.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Routing everything upward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Produces the second failure at the Sololaki Court and shuts down the flow of information the programme depends on.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Never reporting what the programme did not cover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single item leadership is best placed to act on is never put in front of it.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Allowing the review’s output to be noting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standard describes conclusions and decisions; minutes that record neither are auditable evidence that the review is not being conducted as required.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How were audit results reported to relevant management — reported, or only made available?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Report distribution; management review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level of management received each finding, and was it the level at which it could be resolved?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Finding log; report distribution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the management review record its named inputs, and not only the audit results?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Management review minutes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conclusions and decisions, including on resources, did the last review record?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Management review minutes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Was the status of actions from previous reviews taken as an input?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Management review minutes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a number was reported to leadership, was it attached to a decision and a lead time?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Management report; compliance obligations register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Sort open findings by whether their corrective action lies above department level; only those go up.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Present each item that goes up with a cost, a consequence and a named ask.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Leave findings a department can resolve with the management relevant to them.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Report a number only with a decision and a deadline attached.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5.  Check that the review's minutes record decisions, not only that results were presented and noted.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3.14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3.14 — Reporting to Management: What Leadership Actually Needs to Hear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