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40" w:before="0"/>
      </w:pPr>
      <w:r>
        <w:rPr>
          <w:rFonts w:ascii="Aptos" w:hAnsi="Aptos" w:cs="Aptos" w:eastAsia="Aptos"/>
          <w:b/>
          <w:i w:val="0"/>
          <w:color w:val="9A7B2E"/>
          <w:sz w:val="17"/>
        </w:rPr>
        <w:t>WORKING MATERIAL 3.15 · CHAPTER 3 — THE INTERNAL AUDITOR’S LENS</w:t>
      </w:r>
    </w:p>
    <w:p>
      <w:pPr>
        <w:keepNext/>
        <w:spacing w:after="80" w:before="0"/>
      </w:pPr>
      <w:r>
        <w:rPr>
          <w:rFonts w:ascii="Aptos" w:hAnsi="Aptos" w:cs="Aptos" w:eastAsia="Aptos"/>
          <w:b/>
          <w:i w:val="0"/>
          <w:color w:val="1B2A4A"/>
          <w:sz w:val="38"/>
        </w:rPr>
        <w:t>The Audit Programme Over Time: What Ten Years Say That One Year Cannot</w:t>
      </w:r>
    </w:p>
    <w:p>
      <w:pPr>
        <w:spacing w:after="120" w:before="0"/>
      </w:pPr>
      <w:r>
        <w:rPr>
          <w:rFonts w:ascii="Aptos" w:hAnsi="Aptos" w:cs="Aptos" w:eastAsia="Aptos"/>
          <w:b w:val="0"/>
          <w:i/>
          <w:color w:val="5A5A5A"/>
          <w:sz w:val="17"/>
        </w:rPr>
        <w:t>Source: Francesco Dore, The Helm and the Lens, Volume 1b — ISO 14001:2026, subchapter 3.15</w:t>
      </w:r>
    </w:p>
    <w:tbl>
      <w:tblPr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9639"/>
      </w:tblGrid>
      <w:tr>
        <w:trPr>
          <w:cantSplit w:val="true"/>
        </w:trPr>
        <w:tc>
          <w:tcPr>
            <w:tcW w:type="dxa" w:w="9638"/>
            <w:shd w:val="clear" w:color="auto" w:fill="F3EFE6"/>
            <w:tcMar>
              <w:top w:w="120" w:type="dxa"/>
              <w:bottom w:w="120" w:type="dxa"/>
              <w:start w:w="200" w:type="dxa"/>
              <w:end w:w="160" w:type="dxa"/>
              <w:left w:w="200" w:type="dxa"/>
              <w:right w:w="160" w:type="dxa"/>
            </w:tcMar>
            <w:tcBorders>
              <w:left w:val="single" w:sz="24" w:space="0" w:color="9A7B2E"/>
              <w:top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9A7B2E"/>
                <w:sz w:val="17"/>
              </w:rPr>
              <w:t>GUIDING QUESTION</w:t>
              <w:br/>
            </w:r>
            <w:r>
              <w:rPr>
                <w:rFonts w:ascii="Aptos" w:hAnsi="Aptos" w:cs="Aptos" w:eastAsia="Aptos"/>
                <w:b w:val="0"/>
                <w:i/>
                <w:color w:val="1B2A4A"/>
                <w:sz w:val="23"/>
              </w:rPr>
              <w:t>Your property has ten years of internal audit reports. When did anyone last read them all in one sitting, and what would change if they did?</w:t>
            </w:r>
          </w:p>
        </w:tc>
      </w:tr>
    </w:tbl>
    <w:p>
      <w:pPr>
        <w:spacing w:after="4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1 · Verification Pact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Copied from the book. The third column is for your property: what holds here, and how you know.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3061"/>
        <w:gridCol w:w="3969"/>
        <w:gridCol w:w="2608"/>
      </w:tblGrid>
      <w:tr>
        <w:trPr>
          <w:tblHeader w:val="true"/>
          <w:cantSplit w:val="true"/>
        </w:trPr>
        <w:tc>
          <w:tcPr>
            <w:tcW w:type="dxa" w:w="306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Commonly asserted</w:t>
            </w:r>
          </w:p>
        </w:tc>
        <w:tc>
          <w:tcPr>
            <w:tcW w:type="dxa" w:w="3969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What the standard supports</w:t>
            </w:r>
          </w:p>
        </w:tc>
        <w:tc>
          <w:tcPr>
            <w:tcW w:type="dxa" w:w="2608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In our property</w:t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Every process must be audited every year.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Frequency is to be set considering the environmental importance of the processes, changes affecting the organisation and the results of previous audits. A weighted programme in which some processes recur less often is what the text describes; an every-process-every-year grid is an unweighted one.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Internal audits must be annual.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No frequency is prescribed. The organisation determines it, and must be able to show what determined it.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 three-year cycle covering all clauses is required.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Not a requirement of this standard. Expectations of that shape come from elsewhere — which is the subject of the next chapter.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Previous audit results are history; the programme is planned forward.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They are a named input to the programme. Not using them is an omission against the programme requirement, not merely weak practice.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audit programme is the schedule.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programme is required to address frequency, methods, responsibilities, planning requirements and reporting. A schedule is one of five.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ISO 19011 must be followed.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ISO 19011 is guidance for auditing management systems, not a requirements standard. No organisation is certified against it and no clause makes it binding.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An audit programme cannot itself be nonconforming.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It is part of the management system, subject to the system’s requirements and to the obligation of continual improvement of its suitability, adequacy and effectiveness.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2 · Common mistakes — a self-check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Tick each mistake you recognise in your own property. The consequence is the book’s.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Writing next year’s programme from last year’s programme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This is the mechanism the whole subchapter is about, and it feels like continuity from inside.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Treating the retained archive as a compliance obligation rather than as data, and grouping findings by department or by year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Retention and use are different requirements and only one is usually met; those two groupings guarantee that recurrence stays invisible.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Building the programme from the organisation chart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Anything without a department — contractors, outsourced services, shared areas, the management system’s own upper altitude — has no row to appear in.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An unweighted grid in which every process appears every year, presented as thoroughness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It is the absence of a judgement about environmental importance, not the presence of rigour.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Handing the programme to a new coordinator with a template and a verbal briefing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drift is expected to be noticed by somebody who has no way of knowing what the plan used to look like.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Rebuilding from scratch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Discards the scheduling knowledge that is the one genuinely valuable thing an inherited plan contains.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Dropping an item from the plan without recording what the organisation is now relying on instead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programme loses information instead of banking it, and the next coordinator inherits an absence instead of a reason.</w:t>
      </w: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3 · What an auditor would ask to see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Questions drawn from the subchapter’s reading of the standard and its practical application. They are questions to test your own evidence, not additional requirements.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5216"/>
        <w:gridCol w:w="3175"/>
        <w:gridCol w:w="1247"/>
      </w:tblGrid>
      <w:tr>
        <w:trPr>
          <w:tblHeader w:val="true"/>
          <w:cantSplit w:val="true"/>
        </w:trPr>
        <w:tc>
          <w:tcPr>
            <w:tcW w:type="dxa" w:w="5216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Question</w:t>
            </w:r>
          </w:p>
        </w:tc>
        <w:tc>
          <w:tcPr>
            <w:tcW w:type="dxa" w:w="3175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Where the evidence lives</w:t>
            </w:r>
          </w:p>
        </w:tc>
        <w:tc>
          <w:tcPr>
            <w:tcW w:type="dxa" w:w="1247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Seen?</w:t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Where does the programme record how the results of previous audits were considered in designing it?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Programme revision notes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Does the programme cover frequency, methods, responsibilities, planning requirements and reporting?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Audit programme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How does frequency reflect environmental importance, rather than every process every year?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Audit programme; aspects register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Where an item's frequency was reduced or an item removed, what reason and what accumulated evidence are recorded beside it?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Programme revision notes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Has the audit programme itself ever been examined as part of the system?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Programme review; management review minutes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4 · From the Operative Synthesis to action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Concrete actions taken from the subchapter’s Operative Synthesis. Fill in the owner and the date in your property.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6237"/>
        <w:gridCol w:w="2041"/>
        <w:gridCol w:w="1360"/>
      </w:tblGrid>
      <w:tr>
        <w:trPr>
          <w:tblHeader w:val="true"/>
          <w:cantSplit w:val="true"/>
        </w:trPr>
        <w:tc>
          <w:tcPr>
            <w:tcW w:type="dxa" w:w="6236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Action</w:t>
            </w:r>
          </w:p>
        </w:tc>
        <w:tc>
          <w:tcPr>
            <w:tcW w:type="dxa" w:w="204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136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Due date</w:t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1.  Read the audit archive across the years and make the coverage cut: look at the empty rows.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2.  Make the recurrence cut: group every finding by cause.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3.  Make the rung cut: classify every closed corrective action on the robustness ladder.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4.  Reweight the programme rather than rewrite it, with a written reason beside every removal.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tbl>
      <w:tblPr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9639"/>
      </w:tblGrid>
      <w:tr>
        <w:trPr>
          <w:cantSplit w:val="true"/>
        </w:trPr>
        <w:tc>
          <w:tcPr>
            <w:tcW w:type="dxa" w:w="9638"/>
            <w:shd w:val="clear" w:color="auto" w:fill="F3EFE6"/>
            <w:tcMar>
              <w:top w:w="120" w:type="dxa"/>
              <w:bottom w:w="120" w:type="dxa"/>
              <w:start w:w="200" w:type="dxa"/>
              <w:end w:w="160" w:type="dxa"/>
              <w:left w:w="200" w:type="dxa"/>
              <w:right w:w="160" w:type="dxa"/>
            </w:tcMar>
            <w:tcBorders>
              <w:left w:val="single" w:sz="24" w:space="0" w:color="1B2A4A"/>
              <w:top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/>
                <w:color w:val="1B2A4A"/>
                <w:sz w:val="18"/>
              </w:rPr>
              <w:t>What this sheet is not: ISO 14001 does not prescribe this form. It is a working aid drawn from the book; the standard and, in Chapter 4, the certification body's own rules and contract govern the real case.</w:t>
            </w:r>
          </w:p>
        </w:tc>
      </w:tr>
    </w:tbl>
    <w:p>
      <w:pPr>
        <w:spacing w:after="40" w:before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Aptos" w:hAnsi="Aptos" w:cs="Aptos" w:eastAsia="Aptos"/>
        <w:color w:val="5A5A5A"/>
        <w:sz w:val="16"/>
      </w:rPr>
      <w:t xml:space="preserve">The Helm and the Lens · Working material 3.15 · enbooks.effedore.com · page </w:t>
    </w:r>
    <w:r>
      <w:rPr>
        <w:rFonts w:ascii="Aptos" w:hAnsi="Aptos" w:cs="Aptos" w:eastAsia="Aptos"/>
        <w:color w:val="5A5A5A"/>
        <w:sz w:val="16"/>
      </w:rPr>
    </w:r>
    <w:r>
      <w:rPr>
        <w:rFonts w:ascii="Aptos" w:hAnsi="Aptos" w:cs="Aptos" w:eastAsia="Aptos"/>
        <w:color w:val="5A5A5A"/>
        <w:sz w:val="16"/>
      </w:rPr>
      <w:fldChar w:fldCharType="begin"/>
    </w:r>
    <w:r>
      <w:rPr>
        <w:rFonts w:ascii="Aptos" w:hAnsi="Aptos" w:cs="Aptos" w:eastAsia="Aptos"/>
        <w:color w:val="5A5A5A"/>
        <w:sz w:val="16"/>
      </w:rPr>
      <w:instrText xml:space="preserve"> PAGE </w:instrText>
    </w:r>
    <w:r>
      <w:rPr>
        <w:rFonts w:ascii="Aptos" w:hAnsi="Aptos" w:cs="Aptos" w:eastAsia="Aptos"/>
        <w:color w:val="5A5A5A"/>
        <w:sz w:val="16"/>
      </w:rPr>
      <w:fldChar w:fldCharType="separate"/>
    </w:r>
    <w:r>
      <w:rPr>
        <w:rFonts w:ascii="Aptos" w:hAnsi="Aptos" w:cs="Aptos" w:eastAsia="Aptos"/>
        <w:color w:val="5A5A5A"/>
        <w:sz w:val="16"/>
      </w:rPr>
      <w:t>1</w:t>
    </w:r>
    <w:r>
      <w:rPr>
        <w:rFonts w:ascii="Aptos" w:hAnsi="Aptos" w:cs="Aptos" w:eastAsia="Aptos"/>
        <w:color w:val="5A5A5A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9A7B2E"/>
      </w:pBdr>
    </w:pPr>
    <w:r/>
    <w:r>
      <w:rPr>
        <w:rFonts w:ascii="Aptos" w:hAnsi="Aptos" w:cs="Aptos" w:eastAsia="Aptos"/>
        <w:color w:val="1B2A4A"/>
        <w:sz w:val="17"/>
      </w:rPr>
      <w:t>The Helm and the Lens · Volume 1b · ISO 14001:2026 — The Lens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ptos" w:hAnsi="Aptos" w:cs="Aptos" w:eastAsia="Aptos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 material 3.15 — The Audit Programme Over Time: What Ten Years Say That One Year Cannot</dc:title>
  <dc:subject/>
  <dc:creator>Francesco Dore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