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after="40" w:before="0"/>
      </w:pPr>
      <w:r>
        <w:rPr>
          <w:rFonts w:ascii="Aptos" w:hAnsi="Aptos" w:cs="Aptos" w:eastAsia="Aptos"/>
          <w:b/>
          <w:i w:val="0"/>
          <w:color w:val="9A7B2E"/>
          <w:sz w:val="17"/>
        </w:rPr>
        <w:t>WORKING MATERIAL 3.8 · CHAPTER 3 — THE INTERNAL AUDITOR’S LENS</w:t>
      </w:r>
    </w:p>
    <w:p>
      <w:pPr>
        <w:keepNext/>
        <w:spacing w:after="80" w:before="0"/>
      </w:pPr>
      <w:r>
        <w:rPr>
          <w:rFonts w:ascii="Aptos" w:hAnsi="Aptos" w:cs="Aptos" w:eastAsia="Aptos"/>
          <w:b/>
          <w:i w:val="0"/>
          <w:color w:val="1B2A4A"/>
          <w:sz w:val="38"/>
        </w:rPr>
        <w:t>Sampling: What a Handful of Records Can and Cannot Tell You</w:t>
      </w:r>
    </w:p>
    <w:p>
      <w:pPr>
        <w:spacing w:after="120" w:before="0"/>
      </w:pPr>
      <w:r>
        <w:rPr>
          <w:rFonts w:ascii="Aptos" w:hAnsi="Aptos" w:cs="Aptos" w:eastAsia="Aptos"/>
          <w:b w:val="0"/>
          <w:i/>
          <w:color w:val="5A5A5A"/>
          <w:sz w:val="17"/>
        </w:rPr>
        <w:t>Source: Francesco Dore, The Helm and the Lens, Volume 1b — ISO 14001:2026, subchapter 3.8</w:t>
      </w:r>
    </w:p>
    <w:tbl>
      <w:tblPr>
        <w:jc w:val="center"/>
        <w:tblLook w:firstColumn="1" w:firstRow="1" w:lastColumn="0" w:lastRow="0" w:noHBand="0" w:noVBand="1" w:val="04A0"/>
        <w:tblLayout w:type="fixed"/>
        <w:tblW w:w="9639" w:type="dxa"/>
      </w:tblPr>
      <w:tblGrid>
        <w:gridCol w:w="9639"/>
      </w:tblGrid>
      <w:tr>
        <w:trPr>
          <w:cantSplit w:val="true"/>
        </w:trPr>
        <w:tc>
          <w:tcPr>
            <w:tcW w:type="dxa" w:w="9638"/>
            <w:shd w:val="clear" w:color="auto" w:fill="F3EFE6"/>
            <w:tcMar>
              <w:top w:w="120" w:type="dxa"/>
              <w:bottom w:w="120" w:type="dxa"/>
              <w:start w:w="200" w:type="dxa"/>
              <w:end w:w="160" w:type="dxa"/>
              <w:left w:w="200" w:type="dxa"/>
              <w:right w:w="160" w:type="dxa"/>
            </w:tcMar>
            <w:tcBorders>
              <w:left w:val="single" w:sz="24" w:space="0" w:color="9A7B2E"/>
              <w:top w:val="nil" w:sz="0" w:space="0" w:color="auto"/>
              <w:bottom w:val="nil" w:sz="0" w:space="0" w:color="auto"/>
              <w:right w:val="nil" w:sz="0" w:space="0" w:color="auto"/>
            </w:tcBorders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9A7B2E"/>
                <w:sz w:val="17"/>
              </w:rPr>
              <w:t>GUIDING QUESTION</w:t>
              <w:br/>
            </w:r>
            <w:r>
              <w:rPr>
                <w:rFonts w:ascii="Aptos" w:hAnsi="Aptos" w:cs="Aptos" w:eastAsia="Aptos"/>
                <w:b w:val="0"/>
                <w:i/>
                <w:color w:val="1B2A4A"/>
                <w:sz w:val="23"/>
              </w:rPr>
              <w:t>You examined six records and all six were in order. What, precisely, do you now know about the other ninety?</w:t>
            </w:r>
          </w:p>
        </w:tc>
      </w:tr>
    </w:tbl>
    <w:p>
      <w:pPr>
        <w:spacing w:after="40" w:before="0"/>
      </w:pPr>
    </w:p>
    <w:p>
      <w:pPr>
        <w:keepNext/>
        <w:spacing w:after="80" w:before="240"/>
        <w:pBdr>
          <w:bottom w:val="single" w:sz="4" w:space="4" w:color="C9BBA6"/>
        </w:pBdr>
      </w:pPr>
      <w:r>
        <w:rPr>
          <w:rFonts w:ascii="Aptos" w:hAnsi="Aptos" w:cs="Aptos" w:eastAsia="Aptos"/>
          <w:b/>
          <w:i w:val="0"/>
          <w:color w:val="1B2A4A"/>
          <w:sz w:val="25"/>
        </w:rPr>
        <w:t>1 · Verification Pact</w:t>
      </w:r>
    </w:p>
    <w:p>
      <w:pPr>
        <w:keepNext/>
        <w:spacing w:after="120" w:before="0"/>
      </w:pPr>
      <w:r>
        <w:rPr>
          <w:rFonts w:ascii="Aptos" w:hAnsi="Aptos" w:cs="Aptos" w:eastAsia="Aptos"/>
          <w:b w:val="0"/>
          <w:i/>
          <w:color w:val="4A4A4A"/>
          <w:sz w:val="19"/>
        </w:rPr>
        <w:t>Copied from the book. The third column is for your property: what holds here, and how you know.</w:t>
      </w:r>
    </w:p>
    <w:tbl>
      <w:tblPr>
        <w:jc w:val="center"/>
        <w:tblLook w:firstColumn="1" w:firstRow="1" w:lastColumn="0" w:lastRow="0" w:noHBand="0" w:noVBand="1" w:val="04A0"/>
        <w:tblLayout w:type="fixed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W w:w="9639" w:type="dxa"/>
      </w:tblPr>
      <w:tblGrid>
        <w:gridCol w:w="3061"/>
        <w:gridCol w:w="3969"/>
        <w:gridCol w:w="2608"/>
      </w:tblGrid>
      <w:tr>
        <w:trPr>
          <w:tblHeader w:val="true"/>
          <w:cantSplit w:val="true"/>
        </w:trPr>
        <w:tc>
          <w:tcPr>
            <w:tcW w:type="dxa" w:w="3061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Market claim</w:t>
            </w:r>
          </w:p>
        </w:tc>
        <w:tc>
          <w:tcPr>
            <w:tcW w:type="dxa" w:w="3969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What actually holds</w:t>
            </w:r>
          </w:p>
        </w:tc>
        <w:tc>
          <w:tcPr>
            <w:tcW w:type="dxa" w:w="2608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In our property</w:t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“An audit sample must be statistically representative.”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No statistical requirement appears anywhere in the clause; audit sampling is a detection method, not an estimation method.</w:t>
            </w:r>
          </w:p>
        </w:tc>
        <w:tc>
          <w:tcPr>
            <w:tcW w:type="dxa" w:w="2608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“There is a minimum number of records per audit.”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No number is specified; sufficiency is judged against the criteria and the variation in the process.</w:t>
            </w:r>
          </w:p>
        </w:tc>
        <w:tc>
          <w:tcPr>
            <w:tcW w:type="dxa" w:w="2608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“Random selection is required to avoid bias.”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Nothing requires randomness; deliberately targeting high-risk conditions is a legitimate and usually more informative choice.</w:t>
            </w:r>
          </w:p>
        </w:tc>
        <w:tc>
          <w:tcPr>
            <w:tcW w:type="dxa" w:w="2608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“A clean sample demonstrates conformity of the process.”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It demonstrates that the sampled instances conformed; what it says about the rest depends entirely on how it was drawn.</w:t>
            </w:r>
          </w:p>
        </w:tc>
        <w:tc>
          <w:tcPr>
            <w:tcW w:type="dxa" w:w="2608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“Sampling more records always strengthens the conclusion.”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Only if the additional records add variation; thirty records from one population remain one population.</w:t>
            </w:r>
          </w:p>
        </w:tc>
        <w:tc>
          <w:tcPr>
            <w:tcW w:type="dxa" w:w="2608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</w:tbl>
    <w:p>
      <w:pPr>
        <w:spacing w:after="80" w:before="0"/>
      </w:pPr>
    </w:p>
    <w:p>
      <w:pPr>
        <w:keepNext/>
        <w:spacing w:after="80" w:before="240"/>
        <w:pBdr>
          <w:bottom w:val="single" w:sz="4" w:space="4" w:color="C9BBA6"/>
        </w:pBdr>
      </w:pPr>
      <w:r>
        <w:rPr>
          <w:rFonts w:ascii="Aptos" w:hAnsi="Aptos" w:cs="Aptos" w:eastAsia="Aptos"/>
          <w:b/>
          <w:i w:val="0"/>
          <w:color w:val="1B2A4A"/>
          <w:sz w:val="25"/>
        </w:rPr>
        <w:t>2 · Common mistakes — a self-check</w:t>
      </w:r>
    </w:p>
    <w:p>
      <w:pPr>
        <w:keepNext/>
        <w:spacing w:after="120" w:before="0"/>
      </w:pPr>
      <w:r>
        <w:rPr>
          <w:rFonts w:ascii="Aptos" w:hAnsi="Aptos" w:cs="Aptos" w:eastAsia="Aptos"/>
          <w:b w:val="0"/>
          <w:i/>
          <w:color w:val="4A4A4A"/>
          <w:sz w:val="19"/>
        </w:rPr>
        <w:t>Tick each mistake you recognise in your own property. The consequence is the book’s.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Taking the records that are to hand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A sample defined by filing order, usually chronological and recent.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Asking the department for examples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The population is selected by the party being audited.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Treating a clean sample as evidence about the population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Absence of findings mistaken for absence of problems.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Increasing sample size without adding variation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More records from the same population, and the same blind spot.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Never writing down what the population is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Whole categories of person or transaction excluded without anyone deciding to.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Sampling only exceptions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A report about unusual cases that says nothing about ordinary work.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Auditing training records only when the staff are present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The workforce that is absent at audit time is never examined.</w:t>
      </w:r>
    </w:p>
    <w:p>
      <w:pPr>
        <w:keepNext/>
        <w:spacing w:after="80" w:before="240"/>
        <w:pBdr>
          <w:bottom w:val="single" w:sz="4" w:space="4" w:color="C9BBA6"/>
        </w:pBdr>
      </w:pPr>
      <w:r>
        <w:rPr>
          <w:rFonts w:ascii="Aptos" w:hAnsi="Aptos" w:cs="Aptos" w:eastAsia="Aptos"/>
          <w:b/>
          <w:i w:val="0"/>
          <w:color w:val="1B2A4A"/>
          <w:sz w:val="25"/>
        </w:rPr>
        <w:t>3 · What an auditor would ask to see</w:t>
      </w:r>
    </w:p>
    <w:p>
      <w:pPr>
        <w:keepNext/>
        <w:spacing w:after="120" w:before="0"/>
      </w:pPr>
      <w:r>
        <w:rPr>
          <w:rFonts w:ascii="Aptos" w:hAnsi="Aptos" w:cs="Aptos" w:eastAsia="Aptos"/>
          <w:b w:val="0"/>
          <w:i/>
          <w:color w:val="4A4A4A"/>
          <w:sz w:val="19"/>
        </w:rPr>
        <w:t>Questions drawn from the subchapter’s reading of the standard and its practical application. They are questions to test your own evidence, not additional requirements.</w:t>
      </w:r>
    </w:p>
    <w:tbl>
      <w:tblPr>
        <w:jc w:val="center"/>
        <w:tblLook w:firstColumn="1" w:firstRow="1" w:lastColumn="0" w:lastRow="0" w:noHBand="0" w:noVBand="1" w:val="04A0"/>
        <w:tblLayout w:type="fixed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W w:w="9639" w:type="dxa"/>
      </w:tblPr>
      <w:tblGrid>
        <w:gridCol w:w="5216"/>
        <w:gridCol w:w="3175"/>
        <w:gridCol w:w="1247"/>
      </w:tblGrid>
      <w:tr>
        <w:trPr>
          <w:tblHeader w:val="true"/>
          <w:cantSplit w:val="true"/>
        </w:trPr>
        <w:tc>
          <w:tcPr>
            <w:tcW w:type="dxa" w:w="5216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Question</w:t>
            </w:r>
          </w:p>
        </w:tc>
        <w:tc>
          <w:tcPr>
            <w:tcW w:type="dxa" w:w="3175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Where the evidence lives</w:t>
            </w:r>
          </w:p>
        </w:tc>
        <w:tc>
          <w:tcPr>
            <w:tcW w:type="dxa" w:w="1247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Seen?</w:t>
            </w:r>
          </w:p>
        </w:tc>
      </w:tr>
      <w:tr>
        <w:trPr>
          <w:cantSplit w:val="true"/>
        </w:trPr>
        <w:tc>
          <w:tcPr>
            <w:tcW w:type="dxa" w:w="521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How was the population defined before each sample was drawn, and does it include seasonal, agency and contracted personnel?</w:t>
            </w:r>
          </w:p>
        </w:tc>
        <w:tc>
          <w:tcPr>
            <w:tcW w:type="dxa" w:w="3175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Audit notes; personnel records, including archived files</w:t>
            </w:r>
          </w:p>
        </w:tc>
        <w:tc>
          <w:tcPr>
            <w:tcW w:type="dxa" w:w="1247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521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Across which dimensions — permanent and seasonal, department, season, new starters — was the sample spread?</w:t>
            </w:r>
          </w:p>
        </w:tc>
        <w:tc>
          <w:tcPr>
            <w:tcW w:type="dxa" w:w="3175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Audit notes</w:t>
            </w:r>
          </w:p>
        </w:tc>
        <w:tc>
          <w:tcPr>
            <w:tcW w:type="dxa" w:w="1247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521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Which exceptions, such as substitutions or out-of-routine orders, were deliberately sampled?</w:t>
            </w:r>
          </w:p>
        </w:tc>
        <w:tc>
          <w:tcPr>
            <w:tcW w:type="dxa" w:w="3175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Audit notes; purchasing records</w:t>
            </w:r>
          </w:p>
        </w:tc>
        <w:tc>
          <w:tcPr>
            <w:tcW w:type="dxa" w:w="1247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521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How does the sampling take account of changes such as the seasonal increase in staff?</w:t>
            </w:r>
          </w:p>
        </w:tc>
        <w:tc>
          <w:tcPr>
            <w:tcW w:type="dxa" w:w="3175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Audit programme; staffing data</w:t>
            </w:r>
          </w:p>
        </w:tc>
        <w:tc>
          <w:tcPr>
            <w:tcW w:type="dxa" w:w="1247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521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Where are the competence records of seasonal staff kept, and could the audit reach them?</w:t>
            </w:r>
          </w:p>
        </w:tc>
        <w:tc>
          <w:tcPr>
            <w:tcW w:type="dxa" w:w="3175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Archived personnel files; training records</w:t>
            </w:r>
          </w:p>
        </w:tc>
        <w:tc>
          <w:tcPr>
            <w:tcW w:type="dxa" w:w="1247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</w:tbl>
    <w:p>
      <w:pPr>
        <w:spacing w:after="80" w:before="0"/>
      </w:pPr>
    </w:p>
    <w:p>
      <w:pPr>
        <w:keepNext/>
        <w:spacing w:after="80" w:before="240"/>
        <w:pBdr>
          <w:bottom w:val="single" w:sz="4" w:space="4" w:color="C9BBA6"/>
        </w:pBdr>
      </w:pPr>
      <w:r>
        <w:rPr>
          <w:rFonts w:ascii="Aptos" w:hAnsi="Aptos" w:cs="Aptos" w:eastAsia="Aptos"/>
          <w:b/>
          <w:i w:val="0"/>
          <w:color w:val="1B2A4A"/>
          <w:sz w:val="25"/>
        </w:rPr>
        <w:t>4 · From the Operative Synthesis to action</w:t>
      </w:r>
    </w:p>
    <w:p>
      <w:pPr>
        <w:keepNext/>
        <w:spacing w:after="120" w:before="0"/>
      </w:pPr>
      <w:r>
        <w:rPr>
          <w:rFonts w:ascii="Aptos" w:hAnsi="Aptos" w:cs="Aptos" w:eastAsia="Aptos"/>
          <w:b w:val="0"/>
          <w:i/>
          <w:color w:val="4A4A4A"/>
          <w:sz w:val="19"/>
        </w:rPr>
        <w:t>Concrete actions taken from the subchapter’s Operative Synthesis. Fill in the owner and the date in your property.</w:t>
      </w:r>
    </w:p>
    <w:tbl>
      <w:tblPr>
        <w:jc w:val="center"/>
        <w:tblLook w:firstColumn="1" w:firstRow="1" w:lastColumn="0" w:lastRow="0" w:noHBand="0" w:noVBand="1" w:val="04A0"/>
        <w:tblLayout w:type="fixed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W w:w="9639" w:type="dxa"/>
      </w:tblPr>
      <w:tblGrid>
        <w:gridCol w:w="6237"/>
        <w:gridCol w:w="2041"/>
        <w:gridCol w:w="1360"/>
      </w:tblGrid>
      <w:tr>
        <w:trPr>
          <w:tblHeader w:val="true"/>
          <w:cantSplit w:val="true"/>
        </w:trPr>
        <w:tc>
          <w:tcPr>
            <w:tcW w:type="dxa" w:w="6236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Action</w:t>
            </w:r>
          </w:p>
        </w:tc>
        <w:tc>
          <w:tcPr>
            <w:tcW w:type="dxa" w:w="2041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Owner</w:t>
            </w:r>
          </w:p>
        </w:tc>
        <w:tc>
          <w:tcPr>
            <w:tcW w:type="dxa" w:w="1361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Due date</w:t>
            </w:r>
          </w:p>
        </w:tc>
      </w:tr>
      <w:tr>
        <w:trPr>
          <w:cantSplit w:val="true"/>
        </w:trPr>
        <w:tc>
          <w:tcPr>
            <w:tcW w:type="dxa" w:w="623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1.  Before opening any record, write down the population and where the sample will be drawn from.</w:t>
            </w:r>
          </w:p>
        </w:tc>
        <w:tc>
          <w:tcPr>
            <w:tcW w:type="dxa" w:w="204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  <w:tc>
          <w:tcPr>
            <w:tcW w:type="dxa" w:w="13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623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2.  Check that the sample gives the process a fair chance to fail, not merely what was available.</w:t>
            </w:r>
          </w:p>
        </w:tc>
        <w:tc>
          <w:tcPr>
            <w:tcW w:type="dxa" w:w="204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  <w:tc>
          <w:tcPr>
            <w:tcW w:type="dxa" w:w="13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623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3.  Report a clean result from a sample of convenience as absence of information, not as reassurance.</w:t>
            </w:r>
          </w:p>
        </w:tc>
        <w:tc>
          <w:tcPr>
            <w:tcW w:type="dxa" w:w="204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  <w:tc>
          <w:tcPr>
            <w:tcW w:type="dxa" w:w="13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</w:tbl>
    <w:p>
      <w:pPr>
        <w:spacing w:after="80" w:before="0"/>
      </w:pPr>
    </w:p>
    <w:tbl>
      <w:tblPr>
        <w:jc w:val="center"/>
        <w:tblLook w:firstColumn="1" w:firstRow="1" w:lastColumn="0" w:lastRow="0" w:noHBand="0" w:noVBand="1" w:val="04A0"/>
        <w:tblLayout w:type="fixed"/>
        <w:tblW w:w="9639" w:type="dxa"/>
      </w:tblPr>
      <w:tblGrid>
        <w:gridCol w:w="9639"/>
      </w:tblGrid>
      <w:tr>
        <w:trPr>
          <w:cantSplit w:val="true"/>
        </w:trPr>
        <w:tc>
          <w:tcPr>
            <w:tcW w:type="dxa" w:w="9638"/>
            <w:shd w:val="clear" w:color="auto" w:fill="F3EFE6"/>
            <w:tcMar>
              <w:top w:w="120" w:type="dxa"/>
              <w:bottom w:w="120" w:type="dxa"/>
              <w:start w:w="200" w:type="dxa"/>
              <w:end w:w="160" w:type="dxa"/>
              <w:left w:w="200" w:type="dxa"/>
              <w:right w:w="160" w:type="dxa"/>
            </w:tcMar>
            <w:tcBorders>
              <w:left w:val="single" w:sz="24" w:space="0" w:color="1B2A4A"/>
              <w:top w:val="nil" w:sz="0" w:space="0" w:color="auto"/>
              <w:bottom w:val="nil" w:sz="0" w:space="0" w:color="auto"/>
              <w:right w:val="nil" w:sz="0" w:space="0" w:color="auto"/>
            </w:tcBorders>
          </w:tcPr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/>
                <w:color w:val="1B2A4A"/>
                <w:sz w:val="18"/>
              </w:rPr>
              <w:t>What this sheet is not: ISO 14001 does not prescribe this form. It is a working aid drawn from the book; the standard and, in Chapter 4, the certification body's own rules and contract govern the real case.</w:t>
            </w:r>
          </w:p>
        </w:tc>
      </w:tr>
    </w:tbl>
    <w:p>
      <w:pPr>
        <w:spacing w:after="40" w:before="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134" w:left="1134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Aptos" w:hAnsi="Aptos" w:cs="Aptos" w:eastAsia="Aptos"/>
        <w:color w:val="5A5A5A"/>
        <w:sz w:val="16"/>
      </w:rPr>
      <w:t xml:space="preserve">The Helm and the Lens · Working material 3.8 · enbooks.effedore.com · page </w:t>
    </w:r>
    <w:r>
      <w:rPr>
        <w:rFonts w:ascii="Aptos" w:hAnsi="Aptos" w:cs="Aptos" w:eastAsia="Aptos"/>
        <w:color w:val="5A5A5A"/>
        <w:sz w:val="16"/>
      </w:rPr>
    </w:r>
    <w:r>
      <w:rPr>
        <w:rFonts w:ascii="Aptos" w:hAnsi="Aptos" w:cs="Aptos" w:eastAsia="Aptos"/>
        <w:color w:val="5A5A5A"/>
        <w:sz w:val="16"/>
      </w:rPr>
      <w:fldChar w:fldCharType="begin"/>
    </w:r>
    <w:r>
      <w:rPr>
        <w:rFonts w:ascii="Aptos" w:hAnsi="Aptos" w:cs="Aptos" w:eastAsia="Aptos"/>
        <w:color w:val="5A5A5A"/>
        <w:sz w:val="16"/>
      </w:rPr>
      <w:instrText xml:space="preserve"> PAGE </w:instrText>
    </w:r>
    <w:r>
      <w:rPr>
        <w:rFonts w:ascii="Aptos" w:hAnsi="Aptos" w:cs="Aptos" w:eastAsia="Aptos"/>
        <w:color w:val="5A5A5A"/>
        <w:sz w:val="16"/>
      </w:rPr>
      <w:fldChar w:fldCharType="separate"/>
    </w:r>
    <w:r>
      <w:rPr>
        <w:rFonts w:ascii="Aptos" w:hAnsi="Aptos" w:cs="Aptos" w:eastAsia="Aptos"/>
        <w:color w:val="5A5A5A"/>
        <w:sz w:val="16"/>
      </w:rPr>
      <w:t>1</w:t>
    </w:r>
    <w:r>
      <w:rPr>
        <w:rFonts w:ascii="Aptos" w:hAnsi="Aptos" w:cs="Aptos" w:eastAsia="Aptos"/>
        <w:color w:val="5A5A5A"/>
        <w:sz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4" w:color="9A7B2E"/>
      </w:pBdr>
    </w:pPr>
    <w:r/>
    <w:r>
      <w:rPr>
        <w:rFonts w:ascii="Aptos" w:hAnsi="Aptos" w:cs="Aptos" w:eastAsia="Aptos"/>
        <w:color w:val="1B2A4A"/>
        <w:sz w:val="17"/>
      </w:rPr>
      <w:t>The Helm and the Lens · Volume 1b · ISO 14001:2026 — The Lens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Aptos" w:hAnsi="Aptos" w:cs="Aptos" w:eastAsia="Aptos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Working material 3.8 — Sampling: What a Handful of Records Can and Cannot Tell You</dc:title>
  <dc:subject/>
  <dc:creator>Francesco Dore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