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4.11 · CHAPTER 4 — THE CERTIFIER’S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Suspension and Withdrawal: The Surface Area of a Claim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4.11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Your certificate is suspended on a Tuesday. In how many places does your hotel say it is certified, and how long would it take you to take them all down?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is claimed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“Suspension is a private matter between us and our certifier.”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certification body is required to make information on suspended and withdrawn certifications publicly accessible. It is findable by anyone who checks, including a client before a renewal.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“Suspension is a pause; nothing changes in the meantime.”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During suspension the certification is temporarily invalid, and the organisation must stop representing itself as certified and stop using the marks.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“We were closed, so it could not be our fault.”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 permitting surveillance or recertification at the required frequency is itself a listed ground for suspension. A closure is a reason to request voluntary suspension, not a defence against an imposed one.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 certificate cannot be suspended over money.”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Non-payment of fees is among the listed grounds, alongside misuse of the mark and failure to notify significant changes.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“It is all or nothing.”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Reduction of scope is available: the boundary is redrawn to exclude the part that no longer meets the requirements. A poor outcome, and a survivable one.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“Suspension is something done to you.”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 client may request it. For a long refurbishment closure, a seasonal shutdown or an ownership change mid-cycle, requesting it is the orderly route rather than an admission.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“Leaving the claim up for a few weeks is a marketing matter.”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External communication relevant to the system must be consistent with information generated within it and reliable, and the guidance requires it to be truthful and not misleading. A live claim after suspension fails the standard, not only the contract.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Believing suspension is private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is recorded where anybody can find it, and buyers increasingly look before renewing.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a closure as a reason the audit simply will not happen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Allowing the required frequency to lapse is itself a ground for suspension.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Not knowing that voluntary suspension exists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one instrument designed for exactly the hotel situation of a long closure is never used.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Underestimating the surface area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Eighty-one live instances is not unusual, and the slowest ones are the ones a client sees.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Leaving the claim inventory with the environmental function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knows about the lobby frame and not about the channel content queue.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Letting a client discover a suspension rather than being told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question that follows is never about the fault.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Assuming the choice is certificate or nothing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reduction of scope, which may preserve most of it, is never considered.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 there an inventory of every place the hotel states or implies it is certified, with who can change each and how long the change takes?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Claim inventory, held with distribution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a closure would prevent an audit, was voluntary suspension requested in writing before the date passed?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Correspondence with the certification body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Has the finance office been told that non-payment of the certification fee is a ground for suspension?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Email or briefing record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is the list of contracts requiring notification of suspension, withdrawal or scope reduction?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List of contracts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 every external statement about certification consistent with the current status?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Website; channel content; rate sheets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Make the claim inventory now, calmly, before it is needed.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For a long closure or a seasonal shutdown, request voluntary suspension rather than letting one be imposed.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Tell the finance office that non-payment of the fee is a ground for suspension.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Keep in mind that reduction of scope exists between full certification and none.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4.11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4.11 — Suspension and Withdrawal: The Surface Area of a Claim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