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after="40" w:before="0"/>
      </w:pPr>
      <w:r>
        <w:rPr>
          <w:rFonts w:ascii="Aptos" w:hAnsi="Aptos" w:cs="Aptos" w:eastAsia="Aptos"/>
          <w:b/>
          <w:i w:val="0"/>
          <w:color w:val="9A7B2E"/>
          <w:sz w:val="17"/>
        </w:rPr>
        <w:t>WORKING MATERIAL 4.15 · CHAPTER 4 — THE CERTIFIER’S LENS</w:t>
      </w:r>
    </w:p>
    <w:p>
      <w:pPr>
        <w:keepNext/>
        <w:spacing w:after="80" w:before="0"/>
      </w:pPr>
      <w:r>
        <w:rPr>
          <w:rFonts w:ascii="Aptos" w:hAnsi="Aptos" w:cs="Aptos" w:eastAsia="Aptos"/>
          <w:b/>
          <w:i w:val="0"/>
          <w:color w:val="1B2A4A"/>
          <w:sz w:val="38"/>
        </w:rPr>
        <w:t>Certification as an Investment: Who Pays, Who Benefits, and When</w:t>
      </w:r>
    </w:p>
    <w:p>
      <w:pPr>
        <w:spacing w:after="120" w:before="0"/>
      </w:pPr>
      <w:r>
        <w:rPr>
          <w:rFonts w:ascii="Aptos" w:hAnsi="Aptos" w:cs="Aptos" w:eastAsia="Aptos"/>
          <w:b w:val="0"/>
          <w:i/>
          <w:color w:val="5A5A5A"/>
          <w:sz w:val="17"/>
        </w:rPr>
        <w:t>Source: Francesco Dore, The Helm and the Lens, Volume 1b — ISO 14001:2026, subchapter 4.15</w:t>
      </w:r>
    </w:p>
    <w:tbl>
      <w:tblPr>
        <w:jc w:val="center"/>
        <w:tblLook w:firstColumn="1" w:firstRow="1" w:lastColumn="0" w:lastRow="0" w:noHBand="0" w:noVBand="1" w:val="04A0"/>
        <w:tblLayout w:type="fixed"/>
        <w:tblW w:w="9639" w:type="dxa"/>
      </w:tblPr>
      <w:tblGrid>
        <w:gridCol w:w="9639"/>
      </w:tblGrid>
      <w:tr>
        <w:trPr>
          <w:cantSplit w:val="true"/>
        </w:trPr>
        <w:tc>
          <w:tcPr>
            <w:tcW w:type="dxa" w:w="9638"/>
            <w:shd w:val="clear" w:color="auto" w:fill="F3EFE6"/>
            <w:tcMar>
              <w:top w:w="120" w:type="dxa"/>
              <w:bottom w:w="120" w:type="dxa"/>
              <w:start w:w="200" w:type="dxa"/>
              <w:end w:w="160" w:type="dxa"/>
              <w:left w:w="200" w:type="dxa"/>
              <w:right w:w="160" w:type="dxa"/>
            </w:tcMar>
            <w:tcBorders>
              <w:left w:val="single" w:sz="24" w:space="0" w:color="9A7B2E"/>
              <w:top w:val="nil" w:sz="0" w:space="0" w:color="auto"/>
              <w:bottom w:val="nil" w:sz="0" w:space="0" w:color="auto"/>
              <w:right w:val="nil" w:sz="0" w:space="0" w:color="auto"/>
            </w:tcBorders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9A7B2E"/>
                <w:sz w:val="17"/>
              </w:rPr>
              <w:t>GUIDING QUESTION</w:t>
              <w:br/>
            </w:r>
            <w:r>
              <w:rPr>
                <w:rFonts w:ascii="Aptos" w:hAnsi="Aptos" w:cs="Aptos" w:eastAsia="Aptos"/>
                <w:b w:val="0"/>
                <w:i/>
                <w:color w:val="1B2A4A"/>
                <w:sz w:val="23"/>
              </w:rPr>
              <w:t>The line item is small and nobody can say what it returns. Defend it — to somebody who will not be here in seven years, and to somebody who will.</w:t>
            </w:r>
          </w:p>
        </w:tc>
      </w:tr>
    </w:tbl>
    <w:p>
      <w:pPr>
        <w:spacing w:after="40" w:before="0"/>
      </w:pPr>
    </w:p>
    <w:p>
      <w:pPr>
        <w:keepNext/>
        <w:spacing w:after="80" w:before="240"/>
        <w:pBdr>
          <w:bottom w:val="single" w:sz="4" w:space="4" w:color="C9BBA6"/>
        </w:pBdr>
      </w:pPr>
      <w:r>
        <w:rPr>
          <w:rFonts w:ascii="Aptos" w:hAnsi="Aptos" w:cs="Aptos" w:eastAsia="Aptos"/>
          <w:b/>
          <w:i w:val="0"/>
          <w:color w:val="1B2A4A"/>
          <w:sz w:val="25"/>
        </w:rPr>
        <w:t>1 · Verification Pact</w:t>
      </w:r>
    </w:p>
    <w:p>
      <w:pPr>
        <w:keepNext/>
        <w:spacing w:after="120" w:before="0"/>
      </w:pPr>
      <w:r>
        <w:rPr>
          <w:rFonts w:ascii="Aptos" w:hAnsi="Aptos" w:cs="Aptos" w:eastAsia="Aptos"/>
          <w:b w:val="0"/>
          <w:i/>
          <w:color w:val="4A4A4A"/>
          <w:sz w:val="19"/>
        </w:rPr>
        <w:t>Copied from the book. The third column is for your property: what holds here, and how you know.</w:t>
      </w:r>
    </w:p>
    <w:tbl>
      <w:tblPr>
        <w:jc w:val="center"/>
        <w:tblLook w:firstColumn="1" w:firstRow="1" w:lastColumn="0" w:lastRow="0" w:noHBand="0" w:noVBand="1" w:val="04A0"/>
        <w:tblLayout w:type="fixed"/>
        <w:tblBorders>
          <w:top w:val="single" w:sz="4" w:space="0" w:color="C9BBA6"/>
          <w:left w:val="single" w:sz="4" w:space="0" w:color="C9BBA6"/>
          <w:bottom w:val="single" w:sz="4" w:space="0" w:color="C9BBA6"/>
          <w:right w:val="single" w:sz="4" w:space="0" w:color="C9BBA6"/>
          <w:insideH w:val="single" w:sz="4" w:space="0" w:color="C9BBA6"/>
          <w:insideV w:val="single" w:sz="4" w:space="0" w:color="C9BBA6"/>
        </w:tblBorders>
        <w:tblW w:w="9639" w:type="dxa"/>
      </w:tblPr>
      <w:tblGrid>
        <w:gridCol w:w="3061"/>
        <w:gridCol w:w="3969"/>
        <w:gridCol w:w="2608"/>
      </w:tblGrid>
      <w:tr>
        <w:trPr>
          <w:tblHeader w:val="true"/>
          <w:cantSplit w:val="true"/>
        </w:trPr>
        <w:tc>
          <w:tcPr>
            <w:tcW w:type="dxa" w:w="3061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What is claimed</w:t>
            </w:r>
          </w:p>
        </w:tc>
        <w:tc>
          <w:tcPr>
            <w:tcW w:type="dxa" w:w="3969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What actually holds</w:t>
            </w:r>
          </w:p>
        </w:tc>
        <w:tc>
          <w:tcPr>
            <w:tcW w:type="dxa" w:w="2608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In our property</w:t>
            </w:r>
          </w:p>
        </w:tc>
      </w:tr>
      <w:tr>
        <w:trPr>
          <w:cantSplit w:val="true"/>
        </w:trPr>
        <w:tc>
          <w:tcPr>
            <w:tcW w:type="dxa" w:w="30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“Certification saves money on energy and water.”</w:t>
            </w:r>
          </w:p>
        </w:tc>
        <w:tc>
          <w:tcPr>
            <w:tcW w:type="dxa" w:w="3969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The standard sets no performance criteria and guarantees no outcome. The measures produce the savings; the system’s contribution is that they are found, recorded and sustained through changes of staff.</w:t>
            </w:r>
          </w:p>
        </w:tc>
        <w:tc>
          <w:tcPr>
            <w:tcW w:type="dxa" w:w="2608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30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“The cost of certification is the audit fee.”</w:t>
            </w:r>
          </w:p>
        </w:tc>
        <w:tc>
          <w:tcPr>
            <w:tcW w:type="dxa" w:w="3969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The fee is usually the smallest component. Preparation, internal audits, department time during visits and the closing of findings dominate the total, and the audit days themselves are fixed by a mandatory framework rather than by the property.</w:t>
            </w:r>
          </w:p>
        </w:tc>
        <w:tc>
          <w:tcPr>
            <w:tcW w:type="dxa" w:w="2608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30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“We can cut it this year and restore it next year.”</w:t>
            </w:r>
          </w:p>
        </w:tc>
        <w:tc>
          <w:tcPr>
            <w:tcW w:type="dxa" w:w="3969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Withdrawal ends the relationship and re-entry is an initial certification with no credit for the cycle; and eligibility to transfer or continue depends on good standing that a lapse removes.</w:t>
            </w:r>
          </w:p>
        </w:tc>
        <w:tc>
          <w:tcPr>
            <w:tcW w:type="dxa" w:w="2608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30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“Every serious hotel should be certified.”</w:t>
            </w:r>
          </w:p>
        </w:tc>
        <w:tc>
          <w:tcPr>
            <w:tcW w:type="dxa" w:w="3969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The standard names four routes to demonstrating conformity and lists certification last. Self-declaration is a legitimate route, and for a property with no buyer requirement it may be the proportionate one.</w:t>
            </w:r>
          </w:p>
        </w:tc>
        <w:tc>
          <w:tcPr>
            <w:tcW w:type="dxa" w:w="2608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30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“It is a marketing asset.”</w:t>
            </w:r>
          </w:p>
        </w:tc>
        <w:tc>
          <w:tcPr>
            <w:tcW w:type="dxa" w:w="3969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It is a market-access asset where buyers require it. Presenting it as a performance claim breaches the communication requirements of the standard being cited.</w:t>
            </w:r>
          </w:p>
        </w:tc>
        <w:tc>
          <w:tcPr>
            <w:tcW w:type="dxa" w:w="2608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30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“We can calculate the return on investment.”</w:t>
            </w:r>
          </w:p>
        </w:tc>
        <w:tc>
          <w:tcPr>
            <w:tcW w:type="dxa" w:w="3969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Access is contractually evidenced, operating savings are measurable, and avoided risk is counterfactual and cannot be evidenced at all. A single figure merges three different kinds of evidence and is weaker than any of them stated separately.</w:t>
            </w:r>
          </w:p>
        </w:tc>
        <w:tc>
          <w:tcPr>
            <w:tcW w:type="dxa" w:w="2608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30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“ISO 14001 makes the business case for us.”</w:t>
            </w:r>
          </w:p>
        </w:tc>
        <w:tc>
          <w:tcPr>
            <w:tcW w:type="dxa" w:w="3969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It states that a systematic approach creates options for financial and operational benefits, and that adoption will not in itself guarantee optimal environmental outcomes. Options created, not returns promised.</w:t>
            </w:r>
          </w:p>
        </w:tc>
        <w:tc>
          <w:tcPr>
            <w:tcW w:type="dxa" w:w="2608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</w:tbl>
    <w:p>
      <w:pPr>
        <w:spacing w:after="80" w:before="0"/>
      </w:pPr>
    </w:p>
    <w:p>
      <w:pPr>
        <w:keepNext/>
        <w:spacing w:after="80" w:before="240"/>
        <w:pBdr>
          <w:bottom w:val="single" w:sz="4" w:space="4" w:color="C9BBA6"/>
        </w:pBdr>
      </w:pPr>
      <w:r>
        <w:rPr>
          <w:rFonts w:ascii="Aptos" w:hAnsi="Aptos" w:cs="Aptos" w:eastAsia="Aptos"/>
          <w:b/>
          <w:i w:val="0"/>
          <w:color w:val="1B2A4A"/>
          <w:sz w:val="25"/>
        </w:rPr>
        <w:t>2 · Common mistakes — a self-check</w:t>
      </w:r>
    </w:p>
    <w:p>
      <w:pPr>
        <w:keepNext/>
        <w:spacing w:after="120" w:before="0"/>
      </w:pPr>
      <w:r>
        <w:rPr>
          <w:rFonts w:ascii="Aptos" w:hAnsi="Aptos" w:cs="Aptos" w:eastAsia="Aptos"/>
          <w:b w:val="0"/>
          <w:i/>
          <w:color w:val="4A4A4A"/>
          <w:sz w:val="19"/>
        </w:rPr>
        <w:t>Tick each mistake you recognise in your own property. The consequence is the book’s.</w:t>
      </w:r>
    </w:p>
    <w:p>
      <w:pPr>
        <w:spacing w:after="100"/>
        <w:ind w:left="340" w:hanging="340"/>
      </w:pPr>
      <w:r>
        <w:rPr>
          <w:rFonts w:ascii="Aptos" w:hAnsi="Aptos" w:cs="Aptos" w:eastAsia="Aptos"/>
          <w:b/>
          <w:i w:val="0"/>
          <w:color w:val="1B2A4A"/>
          <w:sz w:val="20"/>
        </w:rPr>
        <w:t xml:space="preserve">☐  </w:t>
      </w:r>
      <w:r>
        <w:rPr>
          <w:rFonts w:ascii="Aptos" w:hAnsi="Aptos" w:cs="Aptos" w:eastAsia="Aptos"/>
          <w:b/>
          <w:i w:val="0"/>
          <w:color w:val="1B2A4A"/>
          <w:sz w:val="20"/>
        </w:rPr>
        <w:t>Leading with cost savings</w:t>
      </w:r>
      <w:r>
        <w:rPr>
          <w:rFonts w:ascii="Aptos" w:hAnsi="Aptos" w:cs="Aptos" w:eastAsia="Aptos"/>
          <w:b w:val="0"/>
          <w:i w:val="0"/>
          <w:color w:val="222222"/>
          <w:sz w:val="20"/>
        </w:rPr>
        <w:t xml:space="preserve"> — It invites the comparison the argument loses, because the measures can be bought without the certificate.</w:t>
      </w:r>
    </w:p>
    <w:p>
      <w:pPr>
        <w:spacing w:after="100"/>
        <w:ind w:left="340" w:hanging="340"/>
      </w:pPr>
      <w:r>
        <w:rPr>
          <w:rFonts w:ascii="Aptos" w:hAnsi="Aptos" w:cs="Aptos" w:eastAsia="Aptos"/>
          <w:b/>
          <w:i w:val="0"/>
          <w:color w:val="1B2A4A"/>
          <w:sz w:val="20"/>
        </w:rPr>
        <w:t xml:space="preserve">☐  </w:t>
      </w:r>
      <w:r>
        <w:rPr>
          <w:rFonts w:ascii="Aptos" w:hAnsi="Aptos" w:cs="Aptos" w:eastAsia="Aptos"/>
          <w:b/>
          <w:i w:val="0"/>
          <w:color w:val="1B2A4A"/>
          <w:sz w:val="20"/>
        </w:rPr>
        <w:t>Quoting the fee as the cost</w:t>
      </w:r>
      <w:r>
        <w:rPr>
          <w:rFonts w:ascii="Aptos" w:hAnsi="Aptos" w:cs="Aptos" w:eastAsia="Aptos"/>
          <w:b w:val="0"/>
          <w:i w:val="0"/>
          <w:color w:val="222222"/>
          <w:sz w:val="20"/>
        </w:rPr>
        <w:t xml:space="preserve"> — The true figure is several times larger and will be discovered.</w:t>
      </w:r>
    </w:p>
    <w:p>
      <w:pPr>
        <w:spacing w:after="100"/>
        <w:ind w:left="340" w:hanging="340"/>
      </w:pPr>
      <w:r>
        <w:rPr>
          <w:rFonts w:ascii="Aptos" w:hAnsi="Aptos" w:cs="Aptos" w:eastAsia="Aptos"/>
          <w:b/>
          <w:i w:val="0"/>
          <w:color w:val="1B2A4A"/>
          <w:sz w:val="20"/>
        </w:rPr>
        <w:t xml:space="preserve">☐  </w:t>
      </w:r>
      <w:r>
        <w:rPr>
          <w:rFonts w:ascii="Aptos" w:hAnsi="Aptos" w:cs="Aptos" w:eastAsia="Aptos"/>
          <w:b/>
          <w:i w:val="0"/>
          <w:color w:val="1B2A4A"/>
          <w:sz w:val="20"/>
        </w:rPr>
        <w:t>Merging access, savings and avoided risk into one return figure</w:t>
      </w:r>
      <w:r>
        <w:rPr>
          <w:rFonts w:ascii="Aptos" w:hAnsi="Aptos" w:cs="Aptos" w:eastAsia="Aptos"/>
          <w:b w:val="0"/>
          <w:i w:val="0"/>
          <w:color w:val="222222"/>
          <w:sz w:val="20"/>
        </w:rPr>
        <w:t xml:space="preserve"> — Three kinds of evidence averaged together are weaker than any of them alone.</w:t>
      </w:r>
    </w:p>
    <w:p>
      <w:pPr>
        <w:spacing w:after="100"/>
        <w:ind w:left="340" w:hanging="340"/>
      </w:pPr>
      <w:r>
        <w:rPr>
          <w:rFonts w:ascii="Aptos" w:hAnsi="Aptos" w:cs="Aptos" w:eastAsia="Aptos"/>
          <w:b/>
          <w:i w:val="0"/>
          <w:color w:val="1B2A4A"/>
          <w:sz w:val="20"/>
        </w:rPr>
        <w:t xml:space="preserve">☐  </w:t>
      </w:r>
      <w:r>
        <w:rPr>
          <w:rFonts w:ascii="Aptos" w:hAnsi="Aptos" w:cs="Aptos" w:eastAsia="Aptos"/>
          <w:b/>
          <w:i w:val="0"/>
          <w:color w:val="1B2A4A"/>
          <w:sz w:val="20"/>
        </w:rPr>
        <w:t>Sending the case only to the operator</w:t>
      </w:r>
      <w:r>
        <w:rPr>
          <w:rFonts w:ascii="Aptos" w:hAnsi="Aptos" w:cs="Aptos" w:eastAsia="Aptos"/>
          <w:b w:val="0"/>
          <w:i w:val="0"/>
          <w:color w:val="222222"/>
          <w:sz w:val="20"/>
        </w:rPr>
        <w:t xml:space="preserve"> — The long-horizon benefits belong to the owner, and the owner is the one who never receives the page.</w:t>
      </w:r>
    </w:p>
    <w:p>
      <w:pPr>
        <w:spacing w:after="100"/>
        <w:ind w:left="340" w:hanging="340"/>
      </w:pPr>
      <w:r>
        <w:rPr>
          <w:rFonts w:ascii="Aptos" w:hAnsi="Aptos" w:cs="Aptos" w:eastAsia="Aptos"/>
          <w:b/>
          <w:i w:val="0"/>
          <w:color w:val="1B2A4A"/>
          <w:sz w:val="20"/>
        </w:rPr>
        <w:t xml:space="preserve">☐  </w:t>
      </w:r>
      <w:r>
        <w:rPr>
          <w:rFonts w:ascii="Aptos" w:hAnsi="Aptos" w:cs="Aptos" w:eastAsia="Aptos"/>
          <w:b/>
          <w:i w:val="0"/>
          <w:color w:val="1B2A4A"/>
          <w:sz w:val="20"/>
        </w:rPr>
        <w:t>Treating the decision as portfolio-wide</w:t>
      </w:r>
      <w:r>
        <w:rPr>
          <w:rFonts w:ascii="Aptos" w:hAnsi="Aptos" w:cs="Aptos" w:eastAsia="Aptos"/>
          <w:b w:val="0"/>
          <w:i w:val="0"/>
          <w:color w:val="222222"/>
          <w:sz w:val="20"/>
        </w:rPr>
        <w:t xml:space="preserve"> — The same instrument is obviously worth buying at a convention hotel and obviously not at a select-service property with no group demand.</w:t>
      </w:r>
    </w:p>
    <w:p>
      <w:pPr>
        <w:spacing w:after="100"/>
        <w:ind w:left="340" w:hanging="340"/>
      </w:pPr>
      <w:r>
        <w:rPr>
          <w:rFonts w:ascii="Aptos" w:hAnsi="Aptos" w:cs="Aptos" w:eastAsia="Aptos"/>
          <w:b/>
          <w:i w:val="0"/>
          <w:color w:val="1B2A4A"/>
          <w:sz w:val="20"/>
        </w:rPr>
        <w:t xml:space="preserve">☐  </w:t>
      </w:r>
      <w:r>
        <w:rPr>
          <w:rFonts w:ascii="Aptos" w:hAnsi="Aptos" w:cs="Aptos" w:eastAsia="Aptos"/>
          <w:b/>
          <w:i w:val="0"/>
          <w:color w:val="1B2A4A"/>
          <w:sz w:val="20"/>
        </w:rPr>
        <w:t>Assuming a cut is reversible</w:t>
      </w:r>
      <w:r>
        <w:rPr>
          <w:rFonts w:ascii="Aptos" w:hAnsi="Aptos" w:cs="Aptos" w:eastAsia="Aptos"/>
          <w:b w:val="0"/>
          <w:i w:val="0"/>
          <w:color w:val="222222"/>
          <w:sz w:val="20"/>
        </w:rPr>
        <w:t xml:space="preserve"> — Re-entry is an initial certification with no credit for the cycle that was abandoned.</w:t>
      </w:r>
    </w:p>
    <w:p>
      <w:pPr>
        <w:spacing w:after="100"/>
        <w:ind w:left="340" w:hanging="340"/>
      </w:pPr>
      <w:r>
        <w:rPr>
          <w:rFonts w:ascii="Aptos" w:hAnsi="Aptos" w:cs="Aptos" w:eastAsia="Aptos"/>
          <w:b/>
          <w:i w:val="0"/>
          <w:color w:val="1B2A4A"/>
          <w:sz w:val="20"/>
        </w:rPr>
        <w:t xml:space="preserve">☐  </w:t>
      </w:r>
      <w:r>
        <w:rPr>
          <w:rFonts w:ascii="Aptos" w:hAnsi="Aptos" w:cs="Aptos" w:eastAsia="Aptos"/>
          <w:b/>
          <w:i w:val="0"/>
          <w:color w:val="1B2A4A"/>
          <w:sz w:val="20"/>
        </w:rPr>
        <w:t>Letting the system lapse along with the certificate</w:t>
      </w:r>
      <w:r>
        <w:rPr>
          <w:rFonts w:ascii="Aptos" w:hAnsi="Aptos" w:cs="Aptos" w:eastAsia="Aptos"/>
          <w:b w:val="0"/>
          <w:i w:val="0"/>
          <w:color w:val="222222"/>
          <w:sz w:val="20"/>
        </w:rPr>
        <w:t xml:space="preserve"> — Stopping the audit is a defensible decision; stopping the aspects register, the obligations register and the compliance evaluation is not.</w:t>
      </w:r>
    </w:p>
    <w:p>
      <w:pPr>
        <w:keepNext/>
        <w:spacing w:after="80" w:before="240"/>
        <w:pBdr>
          <w:bottom w:val="single" w:sz="4" w:space="4" w:color="C9BBA6"/>
        </w:pBdr>
      </w:pPr>
      <w:r>
        <w:rPr>
          <w:rFonts w:ascii="Aptos" w:hAnsi="Aptos" w:cs="Aptos" w:eastAsia="Aptos"/>
          <w:b/>
          <w:i w:val="0"/>
          <w:color w:val="1B2A4A"/>
          <w:sz w:val="25"/>
        </w:rPr>
        <w:t>3 · What an auditor would ask to see</w:t>
      </w:r>
    </w:p>
    <w:p>
      <w:pPr>
        <w:keepNext/>
        <w:spacing w:after="120" w:before="0"/>
      </w:pPr>
      <w:r>
        <w:rPr>
          <w:rFonts w:ascii="Aptos" w:hAnsi="Aptos" w:cs="Aptos" w:eastAsia="Aptos"/>
          <w:b w:val="0"/>
          <w:i/>
          <w:color w:val="4A4A4A"/>
          <w:sz w:val="19"/>
        </w:rPr>
        <w:t>Questions drawn from the subchapter’s reading of the standard and its practical application. They are questions to test your own evidence, not additional requirements.</w:t>
      </w:r>
    </w:p>
    <w:tbl>
      <w:tblPr>
        <w:jc w:val="center"/>
        <w:tblLook w:firstColumn="1" w:firstRow="1" w:lastColumn="0" w:lastRow="0" w:noHBand="0" w:noVBand="1" w:val="04A0"/>
        <w:tblLayout w:type="fixed"/>
        <w:tblBorders>
          <w:top w:val="single" w:sz="4" w:space="0" w:color="C9BBA6"/>
          <w:left w:val="single" w:sz="4" w:space="0" w:color="C9BBA6"/>
          <w:bottom w:val="single" w:sz="4" w:space="0" w:color="C9BBA6"/>
          <w:right w:val="single" w:sz="4" w:space="0" w:color="C9BBA6"/>
          <w:insideH w:val="single" w:sz="4" w:space="0" w:color="C9BBA6"/>
          <w:insideV w:val="single" w:sz="4" w:space="0" w:color="C9BBA6"/>
        </w:tblBorders>
        <w:tblW w:w="9639" w:type="dxa"/>
      </w:tblPr>
      <w:tblGrid>
        <w:gridCol w:w="5216"/>
        <w:gridCol w:w="3175"/>
        <w:gridCol w:w="1247"/>
      </w:tblGrid>
      <w:tr>
        <w:trPr>
          <w:tblHeader w:val="true"/>
          <w:cantSplit w:val="true"/>
        </w:trPr>
        <w:tc>
          <w:tcPr>
            <w:tcW w:type="dxa" w:w="5216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Question</w:t>
            </w:r>
          </w:p>
        </w:tc>
        <w:tc>
          <w:tcPr>
            <w:tcW w:type="dxa" w:w="3175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Where the evidence lives</w:t>
            </w:r>
          </w:p>
        </w:tc>
        <w:tc>
          <w:tcPr>
            <w:tcW w:type="dxa" w:w="1247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Seen?</w:t>
            </w:r>
          </w:p>
        </w:tc>
      </w:tr>
      <w:tr>
        <w:trPr>
          <w:cantSplit w:val="true"/>
        </w:trPr>
        <w:tc>
          <w:tcPr>
            <w:tcW w:type="dxa" w:w="521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Does an annual one-page case show access, all-in cost, and what the system found and held?</w:t>
            </w:r>
          </w:p>
        </w:tc>
        <w:tc>
          <w:tcPr>
            <w:tcW w:type="dxa" w:w="3175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Annual case page</w:t>
            </w:r>
          </w:p>
        </w:tc>
        <w:tc>
          <w:tcPr>
            <w:tcW w:type="dxa" w:w="1247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521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Which accounts, volumes and notification clauses depend on certification?</w:t>
            </w:r>
          </w:p>
        </w:tc>
        <w:tc>
          <w:tcPr>
            <w:tcW w:type="dxa" w:w="3175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Client contracts</w:t>
            </w:r>
          </w:p>
        </w:tc>
        <w:tc>
          <w:tcPr>
            <w:tcW w:type="dxa" w:w="1247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521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Is the true cost — fee plus internal hours — stated?</w:t>
            </w:r>
          </w:p>
        </w:tc>
        <w:tc>
          <w:tcPr>
            <w:tcW w:type="dxa" w:w="3175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Budget; time records</w:t>
            </w:r>
          </w:p>
        </w:tc>
        <w:tc>
          <w:tcPr>
            <w:tcW w:type="dxa" w:w="1247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521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Are savings attributed to the measures, with the system's role stated as finding and sustaining them?</w:t>
            </w:r>
          </w:p>
        </w:tc>
        <w:tc>
          <w:tcPr>
            <w:tcW w:type="dxa" w:w="3175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Monitoring data; project records</w:t>
            </w:r>
          </w:p>
        </w:tc>
        <w:tc>
          <w:tcPr>
            <w:tcW w:type="dxa" w:w="1247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521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Where no buyer requires certification, has one of the other routes to demonstrating conformity been considered?</w:t>
            </w:r>
          </w:p>
        </w:tc>
        <w:tc>
          <w:tcPr>
            <w:tcW w:type="dxa" w:w="3175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Decision record</w:t>
            </w:r>
          </w:p>
        </w:tc>
        <w:tc>
          <w:tcPr>
            <w:tcW w:type="dxa" w:w="1247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</w:tbl>
    <w:p>
      <w:pPr>
        <w:spacing w:after="80" w:before="0"/>
      </w:pPr>
    </w:p>
    <w:p>
      <w:pPr>
        <w:keepNext/>
        <w:spacing w:after="80" w:before="240"/>
        <w:pBdr>
          <w:bottom w:val="single" w:sz="4" w:space="4" w:color="C9BBA6"/>
        </w:pBdr>
      </w:pPr>
      <w:r>
        <w:rPr>
          <w:rFonts w:ascii="Aptos" w:hAnsi="Aptos" w:cs="Aptos" w:eastAsia="Aptos"/>
          <w:b/>
          <w:i w:val="0"/>
          <w:color w:val="1B2A4A"/>
          <w:sz w:val="25"/>
        </w:rPr>
        <w:t>4 · From the Operative Synthesis to action</w:t>
      </w:r>
    </w:p>
    <w:p>
      <w:pPr>
        <w:keepNext/>
        <w:spacing w:after="120" w:before="0"/>
      </w:pPr>
      <w:r>
        <w:rPr>
          <w:rFonts w:ascii="Aptos" w:hAnsi="Aptos" w:cs="Aptos" w:eastAsia="Aptos"/>
          <w:b w:val="0"/>
          <w:i/>
          <w:color w:val="4A4A4A"/>
          <w:sz w:val="19"/>
        </w:rPr>
        <w:t>Concrete actions taken from the subchapter’s Operative Synthesis. Fill in the owner and the date in your property.</w:t>
      </w:r>
    </w:p>
    <w:tbl>
      <w:tblPr>
        <w:jc w:val="center"/>
        <w:tblLook w:firstColumn="1" w:firstRow="1" w:lastColumn="0" w:lastRow="0" w:noHBand="0" w:noVBand="1" w:val="04A0"/>
        <w:tblLayout w:type="fixed"/>
        <w:tblBorders>
          <w:top w:val="single" w:sz="4" w:space="0" w:color="C9BBA6"/>
          <w:left w:val="single" w:sz="4" w:space="0" w:color="C9BBA6"/>
          <w:bottom w:val="single" w:sz="4" w:space="0" w:color="C9BBA6"/>
          <w:right w:val="single" w:sz="4" w:space="0" w:color="C9BBA6"/>
          <w:insideH w:val="single" w:sz="4" w:space="0" w:color="C9BBA6"/>
          <w:insideV w:val="single" w:sz="4" w:space="0" w:color="C9BBA6"/>
        </w:tblBorders>
        <w:tblW w:w="9639" w:type="dxa"/>
      </w:tblPr>
      <w:tblGrid>
        <w:gridCol w:w="6237"/>
        <w:gridCol w:w="2041"/>
        <w:gridCol w:w="1360"/>
      </w:tblGrid>
      <w:tr>
        <w:trPr>
          <w:tblHeader w:val="true"/>
          <w:cantSplit w:val="true"/>
        </w:trPr>
        <w:tc>
          <w:tcPr>
            <w:tcW w:type="dxa" w:w="6236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Action</w:t>
            </w:r>
          </w:p>
        </w:tc>
        <w:tc>
          <w:tcPr>
            <w:tcW w:type="dxa" w:w="2041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Owner</w:t>
            </w:r>
          </w:p>
        </w:tc>
        <w:tc>
          <w:tcPr>
            <w:tcW w:type="dxa" w:w="1361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Due date</w:t>
            </w:r>
          </w:p>
        </w:tc>
      </w:tr>
      <w:tr>
        <w:trPr>
          <w:cantSplit w:val="true"/>
        </w:trPr>
        <w:tc>
          <w:tcPr>
            <w:tcW w:type="dxa" w:w="623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1.  State the three returns separately: market access, operating cost, avoided risk.</w:t>
            </w:r>
          </w:p>
        </w:tc>
        <w:tc>
          <w:tcPr>
            <w:tcW w:type="dxa" w:w="204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  <w:tc>
          <w:tcPr>
            <w:tcW w:type="dxa" w:w="13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623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2.  Send one page a year to the party that holds the consequence, leading with access and stating the true cost.</w:t>
            </w:r>
          </w:p>
        </w:tc>
        <w:tc>
          <w:tcPr>
            <w:tcW w:type="dxa" w:w="204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  <w:tc>
          <w:tcPr>
            <w:tcW w:type="dxa" w:w="13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623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3.  Where no buyer requires certification, consider keeping the system and using one of the other three routes — without describing the property as certified.</w:t>
            </w:r>
          </w:p>
        </w:tc>
        <w:tc>
          <w:tcPr>
            <w:tcW w:type="dxa" w:w="204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  <w:tc>
          <w:tcPr>
            <w:tcW w:type="dxa" w:w="13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</w:tbl>
    <w:p>
      <w:pPr>
        <w:spacing w:after="80" w:before="0"/>
      </w:pPr>
    </w:p>
    <w:tbl>
      <w:tblPr>
        <w:jc w:val="center"/>
        <w:tblLook w:firstColumn="1" w:firstRow="1" w:lastColumn="0" w:lastRow="0" w:noHBand="0" w:noVBand="1" w:val="04A0"/>
        <w:tblLayout w:type="fixed"/>
        <w:tblW w:w="9639" w:type="dxa"/>
      </w:tblPr>
      <w:tblGrid>
        <w:gridCol w:w="9639"/>
      </w:tblGrid>
      <w:tr>
        <w:trPr>
          <w:cantSplit w:val="true"/>
        </w:trPr>
        <w:tc>
          <w:tcPr>
            <w:tcW w:type="dxa" w:w="9638"/>
            <w:shd w:val="clear" w:color="auto" w:fill="F3EFE6"/>
            <w:tcMar>
              <w:top w:w="120" w:type="dxa"/>
              <w:bottom w:w="120" w:type="dxa"/>
              <w:start w:w="200" w:type="dxa"/>
              <w:end w:w="160" w:type="dxa"/>
              <w:left w:w="200" w:type="dxa"/>
              <w:right w:w="160" w:type="dxa"/>
            </w:tcMar>
            <w:tcBorders>
              <w:left w:val="single" w:sz="24" w:space="0" w:color="1B2A4A"/>
              <w:top w:val="nil" w:sz="0" w:space="0" w:color="auto"/>
              <w:bottom w:val="nil" w:sz="0" w:space="0" w:color="auto"/>
              <w:right w:val="nil" w:sz="0" w:space="0" w:color="auto"/>
            </w:tcBorders>
          </w:tcPr>
          <w:p>
            <w:pPr>
              <w:spacing w:after="0"/>
            </w:pPr>
            <w:r>
              <w:rPr>
                <w:rFonts w:ascii="Aptos" w:hAnsi="Aptos" w:cs="Aptos" w:eastAsia="Aptos"/>
                <w:b w:val="0"/>
                <w:i/>
                <w:color w:val="1B2A4A"/>
                <w:sz w:val="18"/>
              </w:rPr>
              <w:t>What this sheet is not: ISO 14001 does not prescribe this form. It is a working aid drawn from the book; the standard and, in Chapter 4, the certification body's own rules and contract govern the real case.</w:t>
            </w:r>
          </w:p>
        </w:tc>
      </w:tr>
    </w:tbl>
    <w:p>
      <w:pPr>
        <w:spacing w:after="40" w:before="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134" w:left="1134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Aptos" w:hAnsi="Aptos" w:cs="Aptos" w:eastAsia="Aptos"/>
        <w:color w:val="5A5A5A"/>
        <w:sz w:val="16"/>
      </w:rPr>
      <w:t xml:space="preserve">The Helm and the Lens · Working material 4.15 · enbooks.effedore.com · page </w:t>
    </w:r>
    <w:r>
      <w:rPr>
        <w:rFonts w:ascii="Aptos" w:hAnsi="Aptos" w:cs="Aptos" w:eastAsia="Aptos"/>
        <w:color w:val="5A5A5A"/>
        <w:sz w:val="16"/>
      </w:rPr>
    </w:r>
    <w:r>
      <w:rPr>
        <w:rFonts w:ascii="Aptos" w:hAnsi="Aptos" w:cs="Aptos" w:eastAsia="Aptos"/>
        <w:color w:val="5A5A5A"/>
        <w:sz w:val="16"/>
      </w:rPr>
      <w:fldChar w:fldCharType="begin"/>
    </w:r>
    <w:r>
      <w:rPr>
        <w:rFonts w:ascii="Aptos" w:hAnsi="Aptos" w:cs="Aptos" w:eastAsia="Aptos"/>
        <w:color w:val="5A5A5A"/>
        <w:sz w:val="16"/>
      </w:rPr>
      <w:instrText xml:space="preserve"> PAGE </w:instrText>
    </w:r>
    <w:r>
      <w:rPr>
        <w:rFonts w:ascii="Aptos" w:hAnsi="Aptos" w:cs="Aptos" w:eastAsia="Aptos"/>
        <w:color w:val="5A5A5A"/>
        <w:sz w:val="16"/>
      </w:rPr>
      <w:fldChar w:fldCharType="separate"/>
    </w:r>
    <w:r>
      <w:rPr>
        <w:rFonts w:ascii="Aptos" w:hAnsi="Aptos" w:cs="Aptos" w:eastAsia="Aptos"/>
        <w:color w:val="5A5A5A"/>
        <w:sz w:val="16"/>
      </w:rPr>
      <w:t>1</w:t>
    </w:r>
    <w:r>
      <w:rPr>
        <w:rFonts w:ascii="Aptos" w:hAnsi="Aptos" w:cs="Aptos" w:eastAsia="Aptos"/>
        <w:color w:val="5A5A5A"/>
        <w:sz w:val="16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4" w:color="9A7B2E"/>
      </w:pBdr>
    </w:pPr>
    <w:r/>
    <w:r>
      <w:rPr>
        <w:rFonts w:ascii="Aptos" w:hAnsi="Aptos" w:cs="Aptos" w:eastAsia="Aptos"/>
        <w:color w:val="1B2A4A"/>
        <w:sz w:val="17"/>
      </w:rPr>
      <w:t>The Helm and the Lens · Volume 1b · ISO 14001:2026 — The Lens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9" w:lineRule="auto"/>
    </w:pPr>
    <w:rPr>
      <w:rFonts w:ascii="Aptos" w:hAnsi="Aptos" w:cs="Aptos" w:eastAsia="Aptos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Working material 4.15 — Certification as an Investment: Who Pays, Who Benefits, and When</dc:title>
  <dc:subject/>
  <dc:creator>Francesco Dore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