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Aptos" w:cs="Aptos" w:eastAsia="Aptos" w:hAnsi="Aptos"/>
          <w:color w:val="5A5A5A"/>
          <w:sz w:val="18"/>
          <w:szCs w:val="18"/>
        </w:rPr>
        <w:t xml:space="preserve">Das Steuer und die Lupe · Band 1a · ISO 14001:2026</w:t>
      </w:r>
    </w:p>
    <w:p>
      <w:pPr>
        <w:spacing w:after="200"/>
      </w:pPr>
      <w:r>
        <w:rPr>
          <w:rFonts w:ascii="Aptos" w:cs="Aptos" w:eastAsia="Aptos" w:hAnsi="Aptos"/>
          <w:b/>
          <w:bCs/>
          <w:color w:val="8C5A2B"/>
          <w:sz w:val="18"/>
          <w:szCs w:val="18"/>
        </w:rPr>
        <w:t xml:space="preserve">ONLINE-MATERIAL ZU ABSCHNITT 1.12</w:t>
      </w:r>
    </w:p>
    <w:p>
      <w:pPr>
        <w:pStyle w:val="Heading1"/>
        <w:spacing w:after="120" w:line="360"/>
      </w:pPr>
      <w:r>
        <w:rPr>
          <w:rFonts w:ascii="Aptos" w:cs="Aptos" w:eastAsia="Aptos" w:hAnsi="Aptos"/>
          <w:b/>
          <w:bCs/>
          <w:color w:val="002060"/>
          <w:sz w:val="36"/>
          <w:szCs w:val="36"/>
        </w:rPr>
        <w:t xml:space="preserve">Werkzeugkasten für die strategische Aktivierung der Zertifizierung auf DACH-Märkten</w:t>
      </w:r>
    </w:p>
    <w:p>
      <w:pPr>
        <w:spacing w:after="200"/>
      </w:pPr>
      <w:r>
        <w:rPr>
          <w:rFonts w:ascii="Aptos" w:cs="Aptos" w:eastAsia="Aptos" w:hAnsi="Aptos"/>
          <w:i/>
          <w:iCs/>
          <w:color w:val="5A5A5A"/>
          <w:sz w:val="22"/>
          <w:szCs w:val="22"/>
        </w:rPr>
        <w:t xml:space="preserve">Angebotsbausteine, Kommunikationsvorlagen Deutsch und Englisch, Messrahmen für die Rückflüsse</w:t>
      </w:r>
    </w:p>
    <w:p>
      <w:pPr>
        <w:pBdr>
          <w:bottom w:val="single" w:color="C9BBA6" w:sz="6" w:space="4"/>
        </w:pBdr>
        <w:spacing w:after="240"/>
      </w:pPr>
      <w:r>
        <w:rPr>
          <w:rFonts w:ascii="Aptos" w:cs="Aptos" w:eastAsia="Aptos" w:hAnsi="Aptos"/>
          <w:color w:val="5A5A5A"/>
          <w:sz w:val="17"/>
          <w:szCs w:val="17"/>
        </w:rPr>
        <w:t xml:space="preserve">Stand: 9. Oktober 2026 · buecher.effedore.com</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single" w:color="8C5A2B" w:sz="24"/>
              <w:bottom w:val="none" w:color="FFFFFF" w:sz="0"/>
              <w:right w:val="none" w:color="FFFFFF" w:sz="0"/>
            </w:tcBorders>
            <w:shd w:fill="EFE7DC" w:color="auto" w:val="clear"/>
            <w:tcMar>
              <w:top w:type="dxa" w:w="100"/>
              <w:left w:type="dxa" w:w="180"/>
              <w:bottom w:type="dxa" w:w="100"/>
              <w:right w:type="dxa" w:w="160"/>
            </w:tcMar>
          </w:tcPr>
          <w:p>
            <w:pPr>
              <w:spacing w:after="0" w:line="300"/>
            </w:pPr>
            <w:r>
              <w:rPr>
                <w:rFonts w:ascii="Aptos" w:cs="Aptos" w:eastAsia="Aptos" w:hAnsi="Aptos"/>
                <w:b/>
                <w:bCs/>
                <w:color w:val="8C5A2B"/>
                <w:sz w:val="18"/>
                <w:szCs w:val="18"/>
              </w:rPr>
              <w:t xml:space="preserve">Zu diesem Material </w:t>
            </w:r>
            <w:r>
              <w:rPr>
                <w:rFonts w:ascii="Aptos" w:cs="Aptos" w:eastAsia="Aptos" w:hAnsi="Aptos"/>
                <w:color w:val="1A1A1A"/>
                <w:sz w:val="21"/>
                <w:szCs w:val="21"/>
              </w:rPr>
              <w:t xml:space="preserve">Der Werkzeugkasten enthält Mustertexte mit Platzhaltern, keine fertigen Aussagen. Jeder Platzhalter in eckigen Klammern verlangt einen Wert aus dem eigenen System mit Nachweis. Marktdaten und Erfolgswerte enthält das Material bewusst nicht: Das Haus erhebt sie selbst mit dem Messrahmen.</w:t>
            </w:r>
          </w:p>
        </w:tc>
      </w:tr>
    </w:tbl>
    <w:p>
      <w:pPr>
        <w:spacing w:after="120"/>
      </w:pPr>
    </w:p>
    <w:p>
      <w:pPr>
        <w:keepNext/>
        <w:spacing w:after="120" w:before="280"/>
      </w:pPr>
      <w:r>
        <w:rPr>
          <w:rFonts w:ascii="Aptos" w:cs="Aptos" w:eastAsia="Aptos" w:hAnsi="Aptos"/>
          <w:b/>
          <w:bCs/>
          <w:color w:val="8C5A2B"/>
          <w:sz w:val="26"/>
          <w:szCs w:val="26"/>
        </w:rPr>
        <w:t xml:space="preserve">A. Die vier Segmentkategorien</w:t>
      </w:r>
    </w:p>
    <w:p>
      <w:pPr>
        <w:spacing w:after="140" w:before="0" w:line="300"/>
        <w:jc w:val="both"/>
      </w:pPr>
      <w:r>
        <w:rPr>
          <w:rFonts w:ascii="Aptos" w:cs="Aptos" w:eastAsia="Aptos" w:hAnsi="Aptos"/>
          <w:color w:val="1A1A1A"/>
          <w:sz w:val="21"/>
          <w:szCs w:val="21"/>
        </w:rPr>
        <w:t xml:space="preserve">Abschnitt 1.12 unterscheidet die defensive Funktion der Zertifizierung (schützen, was man hat) von der offensiven Funktion (aufbauen, was man noch nicht hat). Die Segmentierung bestimmt, wo die offensive Arbeit lohnt. Das Buch empfiehlt, sie auf die ersten beiden Kategorien zu konzentrieren.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735"/>
        <w:gridCol w:w="3470"/>
        <w:gridCol w:w="2506"/>
        <w:gridCol w:w="1927"/>
      </w:tblGrid>
      <w:tr>
        <w:trPr>
          <w:tblHeader/>
        </w:trPr>
        <w:tc>
          <w:tcPr>
            <w:tcW w:type="dxa" w:w="1735"/>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Kategorie</w:t>
            </w:r>
          </w:p>
        </w:tc>
        <w:tc>
          <w:tcPr>
            <w:tcW w:type="dxa" w:w="3470"/>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Typische Kundschaft nach dem Buch</w:t>
            </w:r>
          </w:p>
        </w:tc>
        <w:tc>
          <w:tcPr>
            <w:tcW w:type="dxa" w:w="2506"/>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Rolle der Zertifizierung</w:t>
            </w:r>
          </w:p>
        </w:tc>
        <w:tc>
          <w:tcPr>
            <w:tcW w:type="dxa" w:w="1927"/>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Schwerpunkt</w:t>
            </w:r>
          </w:p>
        </w:tc>
      </w:tr>
      <w:tr>
        <w:trPr>
          <w:cantSplit/>
        </w:trPr>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1 Zugangskriterium</w:t>
            </w:r>
          </w:p>
        </w:tc>
        <w:tc>
          <w:tcPr>
            <w:tcW w:type="dxa" w:w="347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Strukturierte Corporate-Kundschaft großer Unternehmensgruppen; High-End-MICE</w:t>
            </w:r>
          </w:p>
        </w:tc>
        <w:tc>
          <w:tcPr>
            <w:tcW w:type="dxa" w:w="25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Kann Voraussetzung für die Aufnahme in Ausschreibungen sein</w:t>
            </w:r>
          </w:p>
        </w:tc>
        <w:tc>
          <w:tcPr>
            <w:tcW w:type="dxa" w:w="192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Defensiv und offensiv</w:t>
            </w:r>
          </w:p>
        </w:tc>
      </w:tr>
      <w:tr>
        <w:trPr>
          <w:cantSplit/>
        </w:trPr>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2 Differenzierungselement</w:t>
            </w:r>
          </w:p>
        </w:tc>
        <w:tc>
          <w:tcPr>
            <w:tcW w:type="dxa" w:w="347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Internationale Märkte mit strukturierter ESG-Sensibilität, insbesondere Skandinavien, Benelux, angelsächsischer Raum</w:t>
            </w:r>
          </w:p>
        </w:tc>
        <w:tc>
          <w:tcPr>
            <w:tcW w:type="dxa" w:w="25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Unterscheidet das Haus, wenn konkret belegt</w:t>
            </w:r>
          </w:p>
        </w:tc>
        <w:tc>
          <w:tcPr>
            <w:tcW w:type="dxa" w:w="192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Offensiv</w:t>
            </w:r>
          </w:p>
        </w:tc>
      </w:tr>
      <w:tr>
        <w:trPr>
          <w:cantSplit/>
        </w:trPr>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3 Hintergrundelement</w:t>
            </w:r>
          </w:p>
        </w:tc>
        <w:tc>
          <w:tcPr>
            <w:tcW w:type="dxa" w:w="347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Traditionelle individuelle Leisure-Kundschaft</w:t>
            </w:r>
          </w:p>
        </w:tc>
        <w:tc>
          <w:tcPr>
            <w:tcW w:type="dxa" w:w="25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Wird kaum aktiv nachgefragt</w:t>
            </w:r>
          </w:p>
        </w:tc>
        <w:tc>
          <w:tcPr>
            <w:tcW w:type="dxa" w:w="192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Kohärenz sichern</w:t>
            </w:r>
          </w:p>
        </w:tc>
      </w:tr>
      <w:tr>
        <w:trPr>
          <w:cantSplit/>
        </w:trPr>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4 Wenig relevant</w:t>
            </w:r>
          </w:p>
        </w:tc>
        <w:tc>
          <w:tcPr>
            <w:tcW w:type="dxa" w:w="347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Spezifische Tourismuskategorien, in denen andere Qualitätselemente überwiegen</w:t>
            </w:r>
          </w:p>
        </w:tc>
        <w:tc>
          <w:tcPr>
            <w:tcW w:type="dxa" w:w="25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Spielt für die Wahl kaum eine Rolle</w:t>
            </w:r>
          </w:p>
        </w:tc>
        <w:tc>
          <w:tcPr>
            <w:tcW w:type="dxa" w:w="192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Kohärenz sichern</w:t>
            </w:r>
          </w:p>
        </w:tc>
      </w:tr>
    </w:tbl>
    <w:p>
      <w:pPr>
        <w:spacing w:after="140"/>
      </w:pPr>
    </w:p>
    <w:p>
      <w:pPr>
        <w:keepNext/>
        <w:spacing w:after="90" w:before="200"/>
      </w:pPr>
      <w:r>
        <w:rPr>
          <w:rFonts w:ascii="Aptos" w:cs="Aptos" w:eastAsia="Aptos" w:hAnsi="Aptos"/>
          <w:b/>
          <w:bCs/>
          <w:color w:val="002060"/>
          <w:sz w:val="22"/>
          <w:szCs w:val="22"/>
        </w:rPr>
        <w:t xml:space="preserve">Arbeitsblatt Expositionskarte</w:t>
      </w:r>
    </w:p>
    <w:p>
      <w:pPr>
        <w:spacing w:after="140" w:before="0" w:line="300"/>
        <w:jc w:val="both"/>
      </w:pPr>
      <w:r>
        <w:rPr>
          <w:rFonts w:ascii="Aptos" w:cs="Aptos" w:eastAsia="Aptos" w:hAnsi="Aptos"/>
          <w:color w:val="1A1A1A"/>
          <w:sz w:val="21"/>
          <w:szCs w:val="21"/>
        </w:rPr>
        <w:t xml:space="preserve">Das Buch empfiehlt die Kartierung mindestens jährlich, als Arbeitsinstrument der Vertriebsdirektion. Jedes Marktsegment des Hauses wird einer Kategorie zugeordnet.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891"/>
        <w:gridCol w:w="1446"/>
        <w:gridCol w:w="1638"/>
        <w:gridCol w:w="1349"/>
        <w:gridCol w:w="2314"/>
      </w:tblGrid>
      <w:tr>
        <w:trPr>
          <w:tblHeader/>
        </w:trPr>
        <w:tc>
          <w:tcPr>
            <w:tcW w:type="dxa" w:w="2891"/>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Segment des Hauses</w:t>
            </w:r>
          </w:p>
        </w:tc>
        <w:tc>
          <w:tcPr>
            <w:tcW w:type="dxa" w:w="1446"/>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Anteil Umsatz (%)</w:t>
            </w:r>
          </w:p>
        </w:tc>
        <w:tc>
          <w:tcPr>
            <w:tcW w:type="dxa" w:w="1638"/>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Anteil Übernachtungen (%)</w:t>
            </w:r>
          </w:p>
        </w:tc>
        <w:tc>
          <w:tcPr>
            <w:tcW w:type="dxa" w:w="1349"/>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Kategorie 1 bis 4</w:t>
            </w:r>
          </w:p>
        </w:tc>
        <w:tc>
          <w:tcPr>
            <w:tcW w:type="dxa" w:w="2314"/>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Offensive Priorität (hoch/mittel/nein)</w:t>
            </w:r>
          </w:p>
        </w:tc>
      </w:tr>
      <w:tr>
        <w:trPr>
          <w:cantSplit/>
        </w:trPr>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 </w:t>
            </w:r>
          </w:p>
        </w:tc>
        <w:tc>
          <w:tcPr>
            <w:tcW w:type="dxa" w:w="14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6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31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 </w:t>
            </w:r>
          </w:p>
        </w:tc>
        <w:tc>
          <w:tcPr>
            <w:tcW w:type="dxa" w:w="14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6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31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 </w:t>
            </w:r>
          </w:p>
        </w:tc>
        <w:tc>
          <w:tcPr>
            <w:tcW w:type="dxa" w:w="14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6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31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 </w:t>
            </w:r>
          </w:p>
        </w:tc>
        <w:tc>
          <w:tcPr>
            <w:tcW w:type="dxa" w:w="14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6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31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 </w:t>
            </w:r>
          </w:p>
        </w:tc>
        <w:tc>
          <w:tcPr>
            <w:tcW w:type="dxa" w:w="14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6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31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bl>
    <w:p>
      <w:pPr>
        <w:spacing w:after="140"/>
      </w:pPr>
    </w:p>
    <w:p>
      <w:pPr>
        <w:keepNext/>
        <w:spacing w:after="120" w:before="280"/>
      </w:pPr>
      <w:r>
        <w:rPr>
          <w:rFonts w:ascii="Aptos" w:cs="Aptos" w:eastAsia="Aptos" w:hAnsi="Aptos"/>
          <w:b/>
          <w:bCs/>
          <w:color w:val="8C5A2B"/>
          <w:sz w:val="26"/>
          <w:szCs w:val="26"/>
        </w:rPr>
        <w:t xml:space="preserve">B. Regeln für alle Vorlagen</w:t>
      </w:r>
    </w:p>
    <w:p>
      <w:pPr>
        <w:pStyle w:val="ListParagraph"/>
        <w:numPr>
          <w:ilvl w:val="0"/>
          <w:numId w:val="2"/>
        </w:numPr>
        <w:spacing w:after="70" w:line="290"/>
        <w:jc w:val="left"/>
      </w:pPr>
      <w:r>
        <w:rPr>
          <w:rFonts w:ascii="Aptos" w:cs="Aptos" w:eastAsia="Aptos" w:hAnsi="Aptos"/>
          <w:b/>
          <w:bCs/>
          <w:color w:val="1A1A1A"/>
          <w:sz w:val="21"/>
          <w:szCs w:val="21"/>
        </w:rPr>
        <w:t xml:space="preserve">Spezifisch statt generisch.</w:t>
      </w:r>
      <w:r>
        <w:rPr>
          <w:rFonts w:ascii="Aptos" w:cs="Aptos" w:eastAsia="Aptos" w:hAnsi="Aptos"/>
          <w:color w:val="1A1A1A"/>
          <w:sz w:val="21"/>
          <w:szCs w:val="21"/>
        </w:rPr>
        <w:t xml:space="preserve"> Das Buch ersetzt «umweltfreundlich», «grün» und «nachhaltig» durch spezifische, verifizierbare Aussagen.</w:t>
      </w:r>
    </w:p>
    <w:p>
      <w:pPr>
        <w:pStyle w:val="ListParagraph"/>
        <w:numPr>
          <w:ilvl w:val="0"/>
          <w:numId w:val="2"/>
        </w:numPr>
        <w:spacing w:after="70" w:line="290"/>
        <w:jc w:val="left"/>
      </w:pPr>
      <w:r>
        <w:rPr>
          <w:rFonts w:ascii="Aptos" w:cs="Aptos" w:eastAsia="Aptos" w:hAnsi="Aptos"/>
          <w:b/>
          <w:bCs/>
          <w:color w:val="1A1A1A"/>
          <w:sz w:val="21"/>
          <w:szCs w:val="21"/>
        </w:rPr>
        <w:t xml:space="preserve">Keine Neutralitätsaussage ohne Substanz.</w:t>
      </w:r>
      <w:r>
        <w:rPr>
          <w:rFonts w:ascii="Aptos" w:cs="Aptos" w:eastAsia="Aptos" w:hAnsi="Aptos"/>
          <w:color w:val="1A1A1A"/>
          <w:sz w:val="21"/>
          <w:szCs w:val="21"/>
        </w:rPr>
        <w:t xml:space="preserve"> «Klimaneutral» nur, wenn die Substanz es nach ISO 14068:2026 trägt. Sonst: «Wir haben unsere direkten Emissionen um [X] % gegenüber [Basisjahr] reduziert.»</w:t>
      </w:r>
    </w:p>
    <w:p>
      <w:pPr>
        <w:pStyle w:val="ListParagraph"/>
        <w:numPr>
          <w:ilvl w:val="0"/>
          <w:numId w:val="2"/>
        </w:numPr>
        <w:spacing w:after="70" w:line="290"/>
        <w:jc w:val="left"/>
      </w:pPr>
      <w:r>
        <w:rPr>
          <w:rFonts w:ascii="Aptos" w:cs="Aptos" w:eastAsia="Aptos" w:hAnsi="Aptos"/>
          <w:b/>
          <w:bCs/>
          <w:color w:val="1A1A1A"/>
          <w:sz w:val="21"/>
          <w:szCs w:val="21"/>
        </w:rPr>
        <w:t xml:space="preserve">Erneuerbarer Strom präzise.</w:t>
      </w:r>
      <w:r>
        <w:rPr>
          <w:rFonts w:ascii="Aptos" w:cs="Aptos" w:eastAsia="Aptos" w:hAnsi="Aptos"/>
          <w:color w:val="1A1A1A"/>
          <w:sz w:val="21"/>
          <w:szCs w:val="21"/>
        </w:rPr>
        <w:t xml:space="preserve"> «100 % erneuerbar» nur bei vollständiger Substanz. Sonst: «Scope 2 market-based zu [X] % durch zertifizierte Herkunftsnachweise gedeckt.»</w:t>
      </w:r>
    </w:p>
    <w:p>
      <w:pPr>
        <w:pStyle w:val="ListParagraph"/>
        <w:numPr>
          <w:ilvl w:val="0"/>
          <w:numId w:val="2"/>
        </w:numPr>
        <w:spacing w:after="70" w:line="290"/>
        <w:jc w:val="left"/>
      </w:pPr>
      <w:r>
        <w:rPr>
          <w:rFonts w:ascii="Aptos" w:cs="Aptos" w:eastAsia="Aptos" w:hAnsi="Aptos"/>
          <w:b/>
          <w:bCs/>
          <w:color w:val="1A1A1A"/>
          <w:sz w:val="21"/>
          <w:szCs w:val="21"/>
        </w:rPr>
        <w:t xml:space="preserve">Kompensation ist Finanzierung.</w:t>
      </w:r>
      <w:r>
        <w:rPr>
          <w:rFonts w:ascii="Aptos" w:cs="Aptos" w:eastAsia="Aptos" w:hAnsi="Aptos"/>
          <w:color w:val="1A1A1A"/>
          <w:sz w:val="21"/>
          <w:szCs w:val="21"/>
        </w:rPr>
        <w:t xml:space="preserve"> Ein Beitrag zu Klimaschutzprojekten wird als Finanzierung ausgewiesen, nie als «klimaneutrale» Veranstaltung oder Leistung.</w:t>
      </w:r>
    </w:p>
    <w:p>
      <w:pPr>
        <w:pStyle w:val="ListParagraph"/>
        <w:numPr>
          <w:ilvl w:val="0"/>
          <w:numId w:val="2"/>
        </w:numPr>
        <w:spacing w:after="70" w:line="290"/>
        <w:jc w:val="left"/>
      </w:pPr>
      <w:r>
        <w:rPr>
          <w:rFonts w:ascii="Aptos" w:cs="Aptos" w:eastAsia="Aptos" w:hAnsi="Aptos"/>
          <w:b/>
          <w:bCs/>
          <w:color w:val="1A1A1A"/>
          <w:sz w:val="21"/>
          <w:szCs w:val="21"/>
        </w:rPr>
        <w:t xml:space="preserve">Künftige Leistungen.</w:t>
      </w:r>
      <w:r>
        <w:rPr>
          <w:rFonts w:ascii="Aptos" w:cs="Aptos" w:eastAsia="Aptos" w:hAnsi="Aptos"/>
          <w:color w:val="1A1A1A"/>
          <w:sz w:val="21"/>
          <w:szCs w:val="21"/>
        </w:rPr>
        <w:t xml:space="preserve"> Aussagen über künftige Umweltleistungen verlangen nach dem Buch einen detaillierten, unabhängig überprüften Umsetzungsplan.</w:t>
      </w:r>
    </w:p>
    <w:p>
      <w:pPr>
        <w:pStyle w:val="ListParagraph"/>
        <w:numPr>
          <w:ilvl w:val="0"/>
          <w:numId w:val="2"/>
        </w:numPr>
        <w:spacing w:after="70" w:line="290"/>
        <w:jc w:val="left"/>
      </w:pPr>
      <w:r>
        <w:rPr>
          <w:rFonts w:ascii="Aptos" w:cs="Aptos" w:eastAsia="Aptos" w:hAnsi="Aptos"/>
          <w:b/>
          <w:bCs/>
          <w:color w:val="1A1A1A"/>
          <w:sz w:val="21"/>
          <w:szCs w:val="21"/>
        </w:rPr>
        <w:t xml:space="preserve">Jede Zahl mit Beleg.</w:t>
      </w:r>
      <w:r>
        <w:rPr>
          <w:rFonts w:ascii="Aptos" w:cs="Aptos" w:eastAsia="Aptos" w:hAnsi="Aptos"/>
          <w:color w:val="1A1A1A"/>
          <w:sz w:val="21"/>
          <w:szCs w:val="21"/>
        </w:rPr>
        <w:t xml:space="preserve"> Zu jedem Platzhalter gehört ein Eintrag im Nachweisregister (Abschnitt G).</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single" w:color="8C5A2B" w:sz="24"/>
              <w:bottom w:val="none" w:color="FFFFFF" w:sz="0"/>
              <w:right w:val="none" w:color="FFFFFF" w:sz="0"/>
            </w:tcBorders>
            <w:shd w:fill="EFE7DC" w:color="auto" w:val="clear"/>
            <w:tcMar>
              <w:top w:type="dxa" w:w="100"/>
              <w:left w:type="dxa" w:w="180"/>
              <w:bottom w:type="dxa" w:w="100"/>
              <w:right w:type="dxa" w:w="160"/>
            </w:tcMar>
          </w:tcPr>
          <w:p>
            <w:pPr>
              <w:spacing w:after="80" w:line="300"/>
            </w:pPr>
            <w:r>
              <w:rPr>
                <w:rFonts w:ascii="Aptos" w:cs="Aptos" w:eastAsia="Aptos" w:hAnsi="Aptos"/>
                <w:b/>
                <w:bCs/>
                <w:color w:val="8C5A2B"/>
                <w:sz w:val="18"/>
                <w:szCs w:val="18"/>
              </w:rPr>
              <w:t xml:space="preserve">Rechtsrahmen nach dem Buch </w:t>
            </w:r>
            <w:r>
              <w:rPr>
                <w:rFonts w:ascii="Aptos" w:cs="Aptos" w:eastAsia="Aptos" w:hAnsi="Aptos"/>
                <w:color w:val="1A1A1A"/>
                <w:sz w:val="21"/>
                <w:szCs w:val="21"/>
              </w:rPr>
              <w:t xml:space="preserve">Die Richtlinie (EU) 2024/825 untersagt unter anderem allgemeine Umweltaussagen ohne nachweisbare anerkannte hervorragende Umweltleistung. Sie untersagt auch Nachhaltigkeitssiegel, die nicht auf einem Zertifizierungssystem beruhen oder staatlich festgesetzt sind. Sie gilt seit 27. September 2026 und schützt Verbraucher (B2C).</w:t>
            </w:r>
          </w:p>
          <w:p>
            <w:pPr>
              <w:spacing w:after="0" w:line="300"/>
            </w:pPr>
            <w:r>
              <w:rPr>
                <w:rFonts w:ascii="Aptos" w:cs="Aptos" w:eastAsia="Aptos" w:hAnsi="Aptos"/>
                <w:color w:val="1A1A1A"/>
                <w:sz w:val="21"/>
                <w:szCs w:val="21"/>
              </w:rPr>
              <w:t xml:space="preserve">In der Schweiz gilt sie nicht. Dort ist Art. 3 Abs. 1 Bst. x UWG maßgeblich: Aussagen über die Klimawirkung müssen auf objektiven und überprüfbaren Grundlagen beruhen. Gegenüber Firmenkunden gilt dieselbe Sprachdisziplin, weil qualifizierte Kunden die Substanz prüfen.</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single" w:color="8C5A2B" w:sz="24"/>
              <w:bottom w:val="none" w:color="FFFFFF" w:sz="0"/>
              <w:right w:val="none" w:color="FFFFFF" w:sz="0"/>
            </w:tcBorders>
            <w:shd w:fill="EFE7DC" w:color="auto" w:val="clear"/>
            <w:tcMar>
              <w:top w:type="dxa" w:w="100"/>
              <w:left w:type="dxa" w:w="180"/>
              <w:bottom w:type="dxa" w:w="100"/>
              <w:right w:type="dxa" w:w="160"/>
            </w:tcMar>
          </w:tcPr>
          <w:p>
            <w:pPr>
              <w:spacing w:after="0" w:line="300"/>
            </w:pPr>
            <w:r>
              <w:rPr>
                <w:rFonts w:ascii="Aptos" w:cs="Aptos" w:eastAsia="Aptos" w:hAnsi="Aptos"/>
                <w:b/>
                <w:bCs/>
                <w:color w:val="8C5A2B"/>
                <w:sz w:val="18"/>
                <w:szCs w:val="18"/>
              </w:rPr>
              <w:t xml:space="preserve">Zertifikat und Zeichen </w:t>
            </w:r>
            <w:r>
              <w:rPr>
                <w:rFonts w:ascii="Aptos" w:cs="Aptos" w:eastAsia="Aptos" w:hAnsi="Aptos"/>
                <w:color w:val="1A1A1A"/>
                <w:sz w:val="21"/>
                <w:szCs w:val="21"/>
              </w:rPr>
              <w:t xml:space="preserve">Kein ISO-Logo. Zulässig ist nach dem Buch nur das Zeichen der Zertifizierungsstelle nach deren Regeln (ISO/IEC 17021-1, 8.3). Es darf nie wie ein Produkt- oder Nachhaltigkeitssiegel wirken. Die Vorlagen hier verwenden kein Zeichen. Wortlaut und Platzierung jedes Zertifikatshinweises sind mit den Regeln der eigenen Zertifizierungsstelle abzugleichen.</w:t>
            </w:r>
          </w:p>
        </w:tc>
      </w:tr>
    </w:tbl>
    <w:p>
      <w:pPr>
        <w:spacing w:after="120"/>
      </w:pPr>
    </w:p>
    <w:p>
      <w:pPr>
        <w:spacing w:after="140" w:before="0" w:line="300"/>
        <w:jc w:val="both"/>
      </w:pPr>
      <w:r>
        <w:rPr>
          <w:rFonts w:ascii="Aptos" w:cs="Aptos" w:eastAsia="Aptos" w:hAnsi="Aptos"/>
          <w:color w:val="1A1A1A"/>
          <w:sz w:val="21"/>
          <w:szCs w:val="21"/>
        </w:rPr>
        <w:t xml:space="preserve">Standardsatz für den Zertifikatshinweis in allen Vorlagen: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Deutsch</w:t>
            </w:r>
          </w:p>
        </w:tc>
        <w:tc>
          <w:tcPr>
            <w:tcW w:type="dxa" w:w="4819"/>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English</w:t>
            </w:r>
          </w:p>
        </w:tc>
      </w:tr>
      <w:tr>
        <w:trPr>
          <w:cantSplit/>
        </w:trPr>
        <w:tc>
          <w:tcPr>
            <w:tcW w:type="dxa" w:w="481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Unser Umweltmanagementsystem ist nach ISO 14001:2026 zertifiziert. Zertifizierungsstelle: [Name], Zertifikat-Nr. [Nr.], gültig bis [Datum].</w:t>
            </w:r>
          </w:p>
        </w:tc>
        <w:tc>
          <w:tcPr>
            <w:tcW w:type="dxa" w:w="481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Our environmental management system is certified to ISO 14001:2026. Certification body: [name], certificate no. [no.], valid until [date].</w:t>
            </w:r>
          </w:p>
        </w:tc>
      </w:tr>
    </w:tbl>
    <w:p>
      <w:pPr>
        <w:spacing w:after="140"/>
      </w:pPr>
    </w:p>
    <w:p>
      <w:pPr>
        <w:keepNext/>
        <w:spacing w:after="120" w:before="280"/>
      </w:pPr>
      <w:r>
        <w:rPr>
          <w:rFonts w:ascii="Aptos" w:cs="Aptos" w:eastAsia="Aptos" w:hAnsi="Aptos"/>
          <w:b/>
          <w:bCs/>
          <w:color w:val="8C5A2B"/>
          <w:sz w:val="26"/>
          <w:szCs w:val="26"/>
        </w:rPr>
        <w:t xml:space="preserve">C. Kategorie 1: Zugangskriterium</w:t>
      </w:r>
    </w:p>
    <w:p>
      <w:pPr>
        <w:spacing w:after="140" w:before="0" w:line="300"/>
        <w:jc w:val="both"/>
      </w:pPr>
      <w:r>
        <w:rPr>
          <w:rFonts w:ascii="Aptos" w:cs="Aptos" w:eastAsia="Aptos" w:hAnsi="Aptos"/>
          <w:color w:val="1A1A1A"/>
          <w:sz w:val="21"/>
          <w:szCs w:val="21"/>
        </w:rPr>
        <w:t xml:space="preserve">Hier geht es zuerst um Zugang. Das Zertifikat wird erwartet. Unterscheidung entsteht durch Daten, die der Einkauf des Kunden weiterverwenden kann. Das Buch nennt ESG-Disclosure-Dokumente in Marktsprachen und eine CSRD-kompatible Datenpräsentation. Für MICE nennt es optionalen Klimaschutzbeitrag, Menü mit Klimafußabdruckerklärung, Post-Veranstaltungs-Nachhaltigkeitsbericht und Bahnreise-Optionen.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single" w:color="8C5A2B" w:sz="24"/>
              <w:bottom w:val="none" w:color="FFFFFF" w:sz="0"/>
              <w:right w:val="none" w:color="FFFFFF" w:sz="0"/>
            </w:tcBorders>
            <w:shd w:fill="EFE7DC" w:color="auto" w:val="clear"/>
            <w:tcMar>
              <w:top w:type="dxa" w:w="100"/>
              <w:left w:type="dxa" w:w="180"/>
              <w:bottom w:type="dxa" w:w="100"/>
              <w:right w:type="dxa" w:w="160"/>
            </w:tcMar>
          </w:tcPr>
          <w:p>
            <w:pPr>
              <w:spacing w:after="0" w:line="300"/>
            </w:pPr>
            <w:r>
              <w:rPr>
                <w:rFonts w:ascii="Aptos" w:cs="Aptos" w:eastAsia="Aptos" w:hAnsi="Aptos"/>
                <w:b/>
                <w:bCs/>
                <w:color w:val="8C5A2B"/>
                <w:sz w:val="18"/>
                <w:szCs w:val="18"/>
              </w:rPr>
              <w:t xml:space="preserve">Prüfauftrag </w:t>
            </w:r>
            <w:r>
              <w:rPr>
                <w:rFonts w:ascii="Aptos" w:cs="Aptos" w:eastAsia="Aptos" w:hAnsi="Aptos"/>
                <w:color w:val="1A1A1A"/>
                <w:sz w:val="21"/>
                <w:szCs w:val="21"/>
              </w:rPr>
              <w:t xml:space="preserve">Ausschreibungen des Travel Managements verlangen nach dem Buch oft zusätzlich touristische Nachhaltigkeitssiegel. Ob und welche gefordert sind, in den konkreten Ausschreibungsunterlagen prüfen.</w:t>
            </w:r>
          </w:p>
        </w:tc>
      </w:tr>
    </w:tbl>
    <w:p>
      <w:pPr>
        <w:spacing w:after="120"/>
      </w:pPr>
    </w:p>
    <w:p>
      <w:pPr>
        <w:keepNext/>
        <w:spacing w:after="90" w:before="200"/>
      </w:pPr>
      <w:r>
        <w:rPr>
          <w:rFonts w:ascii="Aptos" w:cs="Aptos" w:eastAsia="Aptos" w:hAnsi="Aptos"/>
          <w:b/>
          <w:bCs/>
          <w:color w:val="002060"/>
          <w:sz w:val="22"/>
          <w:szCs w:val="22"/>
        </w:rPr>
        <w:t xml:space="preserve">Angebotsbaustein Corporate (Mustertext)</w:t>
      </w:r>
    </w:p>
    <w:p>
      <w:pPr>
        <w:spacing w:after="140" w:before="0" w:line="300"/>
        <w:jc w:val="both"/>
      </w:pPr>
      <w:r>
        <w:rPr>
          <w:rFonts w:ascii="Aptos" w:cs="Aptos" w:eastAsia="Aptos" w:hAnsi="Aptos"/>
          <w:i/>
          <w:iCs/>
          <w:color w:val="1A1A1A"/>
          <w:sz w:val="21"/>
          <w:szCs w:val="21"/>
        </w:rPr>
        <w:t xml:space="preserve">«Mit dem Angebot erhalten Sie unser ESG-Datenblatt [Jahr] auf Deutsch und Englisch. Es enthält Energieintensität pro belegtem Zimmer, Scope-1- und Scope-2-Emissionen mit Methodik und Basisjahr sowie Wasser- und Abfallkennzahlen. Die Daten folgen der Struktur, die Ihr Nachhaltigkeitsbericht benötigt. Für Rückfragen zu den Daten ist [Funktion] Ihre Ansprechperson.»</w:t>
      </w:r>
    </w:p>
    <w:p>
      <w:pPr>
        <w:keepNext/>
        <w:spacing w:after="90" w:before="200"/>
      </w:pPr>
      <w:r>
        <w:rPr>
          <w:rFonts w:ascii="Aptos" w:cs="Aptos" w:eastAsia="Aptos" w:hAnsi="Aptos"/>
          <w:b/>
          <w:bCs/>
          <w:color w:val="002060"/>
          <w:sz w:val="22"/>
          <w:szCs w:val="22"/>
        </w:rPr>
        <w:t xml:space="preserve">Angebotsbaustein High-End-MICE (Mustertext)</w:t>
      </w:r>
    </w:p>
    <w:p>
      <w:pPr>
        <w:spacing w:after="140" w:before="0" w:line="300"/>
        <w:jc w:val="both"/>
      </w:pPr>
      <w:r>
        <w:rPr>
          <w:rFonts w:ascii="Aptos" w:cs="Aptos" w:eastAsia="Aptos" w:hAnsi="Aptos"/>
          <w:i/>
          <w:iCs/>
          <w:color w:val="1A1A1A"/>
          <w:sz w:val="21"/>
          <w:szCs w:val="21"/>
        </w:rPr>
        <w:t xml:space="preserve">«Ihr Paket enthält: Anreiseempfehlung mit Bahnverbindungen ab [Bahnhof]; Menüvorschlag mit Klimafußabdruckangabe je Gericht nach [Berechnungsgrundlage]; einen Nachhaltigkeitsbericht nach der Veranstaltung mit Energie, Abfall und Verpflegung. Optional: Beitrag zu Klimaschutzprojekten von [Betrag] als ausgewiesene Finanzierung. Die Veranstaltung wird dadurch nicht klimaneutral.»</w:t>
      </w:r>
    </w:p>
    <w:p>
      <w:pPr>
        <w:keepNext/>
        <w:spacing w:after="90" w:before="200"/>
      </w:pPr>
      <w:r>
        <w:rPr>
          <w:rFonts w:ascii="Aptos" w:cs="Aptos" w:eastAsia="Aptos" w:hAnsi="Aptos"/>
          <w:b/>
          <w:bCs/>
          <w:color w:val="002060"/>
          <w:sz w:val="22"/>
          <w:szCs w:val="22"/>
        </w:rPr>
        <w:t xml:space="preserve">Kommunikationsvorlage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Deutsch</w:t>
            </w:r>
          </w:p>
        </w:tc>
        <w:tc>
          <w:tcPr>
            <w:tcW w:type="dxa" w:w="4819"/>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English</w:t>
            </w:r>
          </w:p>
        </w:tc>
      </w:tr>
      <w:tr>
        <w:trPr>
          <w:cantSplit/>
        </w:trPr>
        <w:tc>
          <w:tcPr>
            <w:tcW w:type="dxa" w:w="481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Seit [Basisjahr] haben wir den Energieverbrauch pro belegtem Zimmer um [X] % gesenkt. Unsere Scope-1- und Scope-2-Emissionen für [Jahr] betragen [Wert] t CO2e, berechnet nach [Methodik]. Das vollständige Datenblatt erhalten Sie mit jedem Angebot. [Standardsatz Zertifikat]</w:t>
            </w:r>
          </w:p>
        </w:tc>
        <w:tc>
          <w:tcPr>
            <w:tcW w:type="dxa" w:w="481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Since [base year], we have cut energy use per occupied room by [X]%. Our Scope 1 and 2 emissions for [year] were [value] t CO2e, calculated using [method]. The full data sheet comes with every proposal. [Standard certificate sentence]</w:t>
            </w:r>
          </w:p>
        </w:tc>
      </w:tr>
    </w:tbl>
    <w:p>
      <w:pPr>
        <w:spacing w:after="140"/>
      </w:pPr>
    </w:p>
    <w:p>
      <w:pPr>
        <w:keepNext/>
        <w:spacing w:after="90" w:before="160"/>
      </w:pPr>
      <w:r>
        <w:rPr>
          <w:rFonts w:ascii="Aptos" w:cs="Aptos" w:eastAsia="Aptos" w:hAnsi="Aptos"/>
          <w:b/>
          <w:bCs/>
          <w:color w:val="5A5A5A"/>
          <w:sz w:val="18"/>
          <w:szCs w:val="18"/>
        </w:rPr>
        <w:t xml:space="preserve">Messrahmen Kategorie 1</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77"/>
        <w:gridCol w:w="1157"/>
        <w:gridCol w:w="1157"/>
        <w:gridCol w:w="1157"/>
        <w:gridCol w:w="1349"/>
        <w:gridCol w:w="1541"/>
      </w:tblGrid>
      <w:tr>
        <w:trPr>
          <w:tblHeader/>
        </w:trPr>
        <w:tc>
          <w:tcPr>
            <w:tcW w:type="dxa" w:w="3277"/>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Kennzahl</w:t>
            </w:r>
          </w:p>
        </w:tc>
        <w:tc>
          <w:tcPr>
            <w:tcW w:type="dxa" w:w="1157"/>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Dimension</w:t>
            </w:r>
          </w:p>
        </w:tc>
        <w:tc>
          <w:tcPr>
            <w:tcW w:type="dxa" w:w="1157"/>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Basiswert</w:t>
            </w:r>
          </w:p>
        </w:tc>
        <w:tc>
          <w:tcPr>
            <w:tcW w:type="dxa" w:w="1157"/>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Ziel</w:t>
            </w:r>
          </w:p>
        </w:tc>
        <w:tc>
          <w:tcPr>
            <w:tcW w:type="dxa" w:w="1349"/>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Ist nach 12 Monaten</w:t>
            </w:r>
          </w:p>
        </w:tc>
        <w:tc>
          <w:tcPr>
            <w:tcW w:type="dxa" w:w="1541"/>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Quelle</w:t>
            </w:r>
          </w:p>
        </w:tc>
      </w:tr>
      <w:tr>
        <w:trPr>
          <w:cantSplit/>
        </w:trPr>
        <w:tc>
          <w:tcPr>
            <w:tcW w:type="dxa" w:w="327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Erneuerte Corporate-Verträge mit ESG-Anforderung (Anzahl)</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defensiv</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54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327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Beantwortete ESG-Fragebögen / erhaltene (Anzahl, Frist eingehalten)</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defensiv</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54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327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Neu gewonnene Corporate-Rahmenvereinbarungen (Anzahl, Jahresumsatz)</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offensiv</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54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327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Ausschreibungen mit Zulassung / eingereicht (Anzahl)</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offensiv</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54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327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MICE-Veranstaltungen mit Nachhaltigkeitspaket (Anzahl, Umsatz)</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offensiv</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54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327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Gewählter Klimaschutzbeitrag bei MICE (Anteil der Angebote)</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offensiv</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54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bl>
    <w:p>
      <w:pPr>
        <w:spacing w:after="140"/>
      </w:pPr>
    </w:p>
    <w:p>
      <w:pPr>
        <w:keepNext/>
        <w:spacing w:after="120" w:before="280"/>
      </w:pPr>
      <w:r>
        <w:rPr>
          <w:rFonts w:ascii="Aptos" w:cs="Aptos" w:eastAsia="Aptos" w:hAnsi="Aptos"/>
          <w:b/>
          <w:bCs/>
          <w:color w:val="8C5A2B"/>
          <w:sz w:val="26"/>
          <w:szCs w:val="26"/>
        </w:rPr>
        <w:t xml:space="preserve">D. Kategorie 2: Differenzierungselement</w:t>
      </w:r>
    </w:p>
    <w:p>
      <w:pPr>
        <w:spacing w:after="140" w:before="0" w:line="300"/>
        <w:jc w:val="both"/>
      </w:pPr>
      <w:r>
        <w:rPr>
          <w:rFonts w:ascii="Aptos" w:cs="Aptos" w:eastAsia="Aptos" w:hAnsi="Aptos"/>
          <w:color w:val="1A1A1A"/>
          <w:sz w:val="21"/>
          <w:szCs w:val="21"/>
        </w:rPr>
        <w:t xml:space="preserve">Hier zählt, was das Haus spezifisch tut. Das Buch nennt als Beispiel dokumentierte Emissionsminderung durch ein Programm, eine dokumentierte regionale Lieferkette und eine Nachhaltigkeitsdimension im Aufenthalt. Die Kommunikation läuft über Kanäle, die diese Märkte tatsächlich nutzen. Englisch ist Pflicht, weitere Marktsprachen nach Expositionskarte.</w:t>
      </w:r>
    </w:p>
    <w:p>
      <w:pPr>
        <w:keepNext/>
        <w:spacing w:after="90" w:before="200"/>
      </w:pPr>
      <w:r>
        <w:rPr>
          <w:rFonts w:ascii="Aptos" w:cs="Aptos" w:eastAsia="Aptos" w:hAnsi="Aptos"/>
          <w:b/>
          <w:bCs/>
          <w:color w:val="002060"/>
          <w:sz w:val="22"/>
          <w:szCs w:val="22"/>
        </w:rPr>
        <w:t xml:space="preserve">Angebotsbaustein internationaler Premiumtourismus (Mustertext)</w:t>
      </w:r>
    </w:p>
    <w:p>
      <w:pPr>
        <w:spacing w:after="140" w:before="0" w:line="300"/>
        <w:jc w:val="both"/>
      </w:pPr>
      <w:r>
        <w:rPr>
          <w:rFonts w:ascii="Aptos" w:cs="Aptos" w:eastAsia="Aptos" w:hAnsi="Aptos"/>
          <w:i/>
          <w:iCs/>
          <w:color w:val="1A1A1A"/>
          <w:sz w:val="21"/>
          <w:szCs w:val="21"/>
        </w:rPr>
        <w:t xml:space="preserve">«Zu Ihrem Aufenthalt gehört [konkretes Element, z. B. Frühstück mit Produkten von [Anzahl] Betrieben aus [Umkreis] km]. Die Lieferanten sind auf unserer Website mit Herkunft genannt. Anreise mit der Bahn: [Hinweis zur Verbindung ab Bahnhof]. Unsere Umweltdaten veröffentlichen wir jährlich unter [Link].»</w:t>
      </w:r>
    </w:p>
    <w:p>
      <w:pPr>
        <w:keepNext/>
        <w:spacing w:after="90" w:before="200"/>
      </w:pPr>
      <w:r>
        <w:rPr>
          <w:rFonts w:ascii="Aptos" w:cs="Aptos" w:eastAsia="Aptos" w:hAnsi="Aptos"/>
          <w:b/>
          <w:bCs/>
          <w:color w:val="002060"/>
          <w:sz w:val="22"/>
          <w:szCs w:val="22"/>
        </w:rPr>
        <w:t xml:space="preserve">Kommunikationsvorlage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Deutsch</w:t>
            </w:r>
          </w:p>
        </w:tc>
        <w:tc>
          <w:tcPr>
            <w:tcW w:type="dxa" w:w="4819"/>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English</w:t>
            </w:r>
          </w:p>
        </w:tc>
      </w:tr>
      <w:tr>
        <w:trPr>
          <w:cantSplit/>
        </w:trPr>
        <w:tc>
          <w:tcPr>
            <w:tcW w:type="dxa" w:w="481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[X] % unserer Lebensmittel stammen von [Anzahl] Betrieben im Umkreis von [Y] km. Die Liste veröffentlichen wir unter [Link]. Seit [Basisjahr] sind unsere direkten Emissionen um [Z] % gesunken. Unsere Daten für [Jahr] finden Sie in unserem Umweltbericht. [Standardsatz Zertifikat]</w:t>
            </w:r>
          </w:p>
        </w:tc>
        <w:tc>
          <w:tcPr>
            <w:tcW w:type="dxa" w:w="481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[X]% of our food comes from [number] producers within [Y] km. We publish the list at [link]. Since [base year], our direct emissions have fallen by [Z]%. Our data for [year] is in our environmental report. [Standard certificate sentence]</w:t>
            </w:r>
          </w:p>
        </w:tc>
      </w:tr>
    </w:tbl>
    <w:p>
      <w:pPr>
        <w:spacing w:after="140"/>
      </w:pPr>
    </w:p>
    <w:p>
      <w:pPr>
        <w:keepNext/>
        <w:spacing w:after="90" w:before="160"/>
      </w:pPr>
      <w:r>
        <w:rPr>
          <w:rFonts w:ascii="Aptos" w:cs="Aptos" w:eastAsia="Aptos" w:hAnsi="Aptos"/>
          <w:b/>
          <w:bCs/>
          <w:color w:val="5A5A5A"/>
          <w:sz w:val="18"/>
          <w:szCs w:val="18"/>
        </w:rPr>
        <w:t xml:space="preserve">Messrahmen Kategorie 2</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77"/>
        <w:gridCol w:w="1157"/>
        <w:gridCol w:w="1157"/>
        <w:gridCol w:w="1157"/>
        <w:gridCol w:w="1349"/>
        <w:gridCol w:w="1541"/>
      </w:tblGrid>
      <w:tr>
        <w:trPr>
          <w:tblHeader/>
        </w:trPr>
        <w:tc>
          <w:tcPr>
            <w:tcW w:type="dxa" w:w="3277"/>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Kennzahl</w:t>
            </w:r>
          </w:p>
        </w:tc>
        <w:tc>
          <w:tcPr>
            <w:tcW w:type="dxa" w:w="1157"/>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Dimension</w:t>
            </w:r>
          </w:p>
        </w:tc>
        <w:tc>
          <w:tcPr>
            <w:tcW w:type="dxa" w:w="1157"/>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Basiswert</w:t>
            </w:r>
          </w:p>
        </w:tc>
        <w:tc>
          <w:tcPr>
            <w:tcW w:type="dxa" w:w="1157"/>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Ziel</w:t>
            </w:r>
          </w:p>
        </w:tc>
        <w:tc>
          <w:tcPr>
            <w:tcW w:type="dxa" w:w="1349"/>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Ist nach 12 Monaten</w:t>
            </w:r>
          </w:p>
        </w:tc>
        <w:tc>
          <w:tcPr>
            <w:tcW w:type="dxa" w:w="1541"/>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Quelle</w:t>
            </w:r>
          </w:p>
        </w:tc>
      </w:tr>
      <w:tr>
        <w:trPr>
          <w:cantSplit/>
        </w:trPr>
        <w:tc>
          <w:tcPr>
            <w:tcW w:type="dxa" w:w="327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Anteil der Zielmärkte am Gästeherkunftsmix (%)</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offensiv</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54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327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Durchschnittstarif in den Zielsegmenten gegenüber Vergleichsbasis</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offensiv</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54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327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Buchungen über Kanäle der Zielmärkte (Anzahl, Umsatz)</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offensiv</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54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327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Gästebewertungen mit konkretem Bezug auf Umweltelemente (Anzahl)</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offensiv</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54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327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Anfragen zu Umweltdaten aus Zielmärkten (Anzahl)</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offensiv</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54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bl>
    <w:p>
      <w:pPr>
        <w:spacing w:after="140"/>
      </w:pPr>
    </w:p>
    <w:p>
      <w:pPr>
        <w:keepNext/>
        <w:spacing w:after="120" w:before="280"/>
      </w:pPr>
      <w:r>
        <w:rPr>
          <w:rFonts w:ascii="Aptos" w:cs="Aptos" w:eastAsia="Aptos" w:hAnsi="Aptos"/>
          <w:b/>
          <w:bCs/>
          <w:color w:val="8C5A2B"/>
          <w:sz w:val="26"/>
          <w:szCs w:val="26"/>
        </w:rPr>
        <w:t xml:space="preserve">E. Kategorie 3: Hintergrundelement</w:t>
      </w:r>
    </w:p>
    <w:p>
      <w:pPr>
        <w:spacing w:after="140" w:before="0" w:line="300"/>
        <w:jc w:val="both"/>
      </w:pPr>
      <w:r>
        <w:rPr>
          <w:rFonts w:ascii="Aptos" w:cs="Aptos" w:eastAsia="Aptos" w:hAnsi="Aptos"/>
          <w:color w:val="1A1A1A"/>
          <w:sz w:val="21"/>
          <w:szCs w:val="21"/>
        </w:rPr>
        <w:t xml:space="preserve">Hier lohnt keine eigene Kampagne. Die Zertifizierung wirkt im Hintergrund. Aufgabe ist Kohärenz: Was der Gast sieht, muss zur Substanz passen. Weil diese Kundschaft Verbraucher sind, gilt die Richtlinie (EU) 2024/825 in der EU unmittelbar für jede Aussage.</w:t>
      </w:r>
    </w:p>
    <w:p>
      <w:pPr>
        <w:keepNext/>
        <w:spacing w:after="90" w:before="200"/>
      </w:pPr>
      <w:r>
        <w:rPr>
          <w:rFonts w:ascii="Aptos" w:cs="Aptos" w:eastAsia="Aptos" w:hAnsi="Aptos"/>
          <w:b/>
          <w:bCs/>
          <w:color w:val="002060"/>
          <w:sz w:val="22"/>
          <w:szCs w:val="22"/>
        </w:rPr>
        <w:t xml:space="preserve">Angebotsbaustein (Mustertext)</w:t>
      </w:r>
    </w:p>
    <w:p>
      <w:pPr>
        <w:spacing w:after="140" w:before="0" w:line="300"/>
        <w:jc w:val="both"/>
      </w:pPr>
      <w:r>
        <w:rPr>
          <w:rFonts w:ascii="Aptos" w:cs="Aptos" w:eastAsia="Aptos" w:hAnsi="Aptos"/>
          <w:i/>
          <w:iCs/>
          <w:color w:val="1A1A1A"/>
          <w:sz w:val="21"/>
          <w:szCs w:val="21"/>
        </w:rPr>
        <w:t xml:space="preserve">Kein eigener Baustein. Ein sachlicher Absatz in der Hausinformation und auf der Website genügt. Keine Umweltaussagen in Werbeslogans.</w:t>
      </w:r>
    </w:p>
    <w:p>
      <w:pPr>
        <w:keepNext/>
        <w:spacing w:after="90" w:before="200"/>
      </w:pPr>
      <w:r>
        <w:rPr>
          <w:rFonts w:ascii="Aptos" w:cs="Aptos" w:eastAsia="Aptos" w:hAnsi="Aptos"/>
          <w:b/>
          <w:bCs/>
          <w:color w:val="002060"/>
          <w:sz w:val="22"/>
          <w:szCs w:val="22"/>
        </w:rPr>
        <w:t xml:space="preserve">Kommunikationsvorlage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Deutsch</w:t>
            </w:r>
          </w:p>
        </w:tc>
        <w:tc>
          <w:tcPr>
            <w:tcW w:type="dxa" w:w="4819"/>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English</w:t>
            </w:r>
          </w:p>
        </w:tc>
      </w:tr>
      <w:tr>
        <w:trPr>
          <w:cantSplit/>
        </w:trPr>
        <w:tc>
          <w:tcPr>
            <w:tcW w:type="dxa" w:w="481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Im Zimmer finden Sie Hinweise zur Handtuch- und Wäschewahl. Wir bieten [konkrete Maßnahme, z. B. gefiltertes Leitungswasser] an. Was wir messen und erreicht haben, steht in unserem Umweltbericht unter [Link].</w:t>
            </w:r>
          </w:p>
        </w:tc>
        <w:tc>
          <w:tcPr>
            <w:tcW w:type="dxa" w:w="481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You will find information on towel and linen choices in your room. We provide [specific measure, e.g. filtered tap water]. What we measure and what we have achieved is in our environmental report at [link].</w:t>
            </w:r>
          </w:p>
        </w:tc>
      </w:tr>
    </w:tbl>
    <w:p>
      <w:pPr>
        <w:spacing w:after="140"/>
      </w:pPr>
    </w:p>
    <w:p>
      <w:pPr>
        <w:keepNext/>
        <w:spacing w:after="90" w:before="160"/>
      </w:pPr>
      <w:r>
        <w:rPr>
          <w:rFonts w:ascii="Aptos" w:cs="Aptos" w:eastAsia="Aptos" w:hAnsi="Aptos"/>
          <w:b/>
          <w:bCs/>
          <w:color w:val="5A5A5A"/>
          <w:sz w:val="18"/>
          <w:szCs w:val="18"/>
        </w:rPr>
        <w:t xml:space="preserve">Messrahmen Kategorie 3</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77"/>
        <w:gridCol w:w="1157"/>
        <w:gridCol w:w="1157"/>
        <w:gridCol w:w="1157"/>
        <w:gridCol w:w="1349"/>
        <w:gridCol w:w="1541"/>
      </w:tblGrid>
      <w:tr>
        <w:trPr>
          <w:tblHeader/>
        </w:trPr>
        <w:tc>
          <w:tcPr>
            <w:tcW w:type="dxa" w:w="3277"/>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Kennzahl</w:t>
            </w:r>
          </w:p>
        </w:tc>
        <w:tc>
          <w:tcPr>
            <w:tcW w:type="dxa" w:w="1157"/>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Dimension</w:t>
            </w:r>
          </w:p>
        </w:tc>
        <w:tc>
          <w:tcPr>
            <w:tcW w:type="dxa" w:w="1157"/>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Basiswert</w:t>
            </w:r>
          </w:p>
        </w:tc>
        <w:tc>
          <w:tcPr>
            <w:tcW w:type="dxa" w:w="1157"/>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Ziel</w:t>
            </w:r>
          </w:p>
        </w:tc>
        <w:tc>
          <w:tcPr>
            <w:tcW w:type="dxa" w:w="1349"/>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Ist nach 12 Monaten</w:t>
            </w:r>
          </w:p>
        </w:tc>
        <w:tc>
          <w:tcPr>
            <w:tcW w:type="dxa" w:w="1541"/>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Quelle</w:t>
            </w:r>
          </w:p>
        </w:tc>
      </w:tr>
      <w:tr>
        <w:trPr>
          <w:cantSplit/>
        </w:trPr>
        <w:tc>
          <w:tcPr>
            <w:tcW w:type="dxa" w:w="327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Website- und Prospekttexte ohne generische Umweltformeln (geprüft ja/nein, Datum)</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defensiv</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54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327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Gästebeschwerden oder Rückfragen zu Umweltaussagen (Anzahl)</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defensiv</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54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327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Beanstandungen von Umweltaussagen durch Dritte (Anzahl)</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defensiv</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54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bl>
    <w:p>
      <w:pPr>
        <w:spacing w:after="140"/>
      </w:pPr>
    </w:p>
    <w:p>
      <w:pPr>
        <w:keepNext/>
        <w:spacing w:after="120" w:before="280"/>
      </w:pPr>
      <w:r>
        <w:rPr>
          <w:rFonts w:ascii="Aptos" w:cs="Aptos" w:eastAsia="Aptos" w:hAnsi="Aptos"/>
          <w:b/>
          <w:bCs/>
          <w:color w:val="8C5A2B"/>
          <w:sz w:val="26"/>
          <w:szCs w:val="26"/>
        </w:rPr>
        <w:t xml:space="preserve">F. Kategorie 4: Wenig relevant</w:t>
      </w:r>
    </w:p>
    <w:p>
      <w:pPr>
        <w:spacing w:after="140" w:before="0" w:line="300"/>
        <w:jc w:val="both"/>
      </w:pPr>
      <w:r>
        <w:rPr>
          <w:rFonts w:ascii="Aptos" w:cs="Aptos" w:eastAsia="Aptos" w:hAnsi="Aptos"/>
          <w:color w:val="1A1A1A"/>
          <w:sz w:val="21"/>
          <w:szCs w:val="21"/>
        </w:rPr>
        <w:t xml:space="preserve">Hier überwiegen andere Qualitätselemente. Offensive Arbeit lohnt nicht. Aber auch hier darf keine Aussage die Substanz übersteigen. Umweltthemen erscheinen nur, wo sie sachlich zum Angebot gehören.</w:t>
      </w:r>
    </w:p>
    <w:p>
      <w:pPr>
        <w:keepNext/>
        <w:spacing w:after="90" w:before="200"/>
      </w:pPr>
      <w:r>
        <w:rPr>
          <w:rFonts w:ascii="Aptos" w:cs="Aptos" w:eastAsia="Aptos" w:hAnsi="Aptos"/>
          <w:b/>
          <w:bCs/>
          <w:color w:val="002060"/>
          <w:sz w:val="22"/>
          <w:szCs w:val="22"/>
        </w:rPr>
        <w:t xml:space="preserve">Angebotsbaustein (Mustertext)</w:t>
      </w:r>
    </w:p>
    <w:p>
      <w:pPr>
        <w:spacing w:after="140" w:before="0" w:line="300"/>
        <w:jc w:val="both"/>
      </w:pPr>
      <w:r>
        <w:rPr>
          <w:rFonts w:ascii="Aptos" w:cs="Aptos" w:eastAsia="Aptos" w:hAnsi="Aptos"/>
          <w:i/>
          <w:iCs/>
          <w:color w:val="1A1A1A"/>
          <w:sz w:val="21"/>
          <w:szCs w:val="21"/>
        </w:rPr>
        <w:t xml:space="preserve">Kein Umweltbaustein im Angebot. Der Standardsatz zum Zertifikat steht im Impressum oder in der Hausinformation, nicht im Werbetext.</w:t>
      </w:r>
    </w:p>
    <w:p>
      <w:pPr>
        <w:keepNext/>
        <w:spacing w:after="90" w:before="200"/>
      </w:pPr>
      <w:r>
        <w:rPr>
          <w:rFonts w:ascii="Aptos" w:cs="Aptos" w:eastAsia="Aptos" w:hAnsi="Aptos"/>
          <w:b/>
          <w:bCs/>
          <w:color w:val="002060"/>
          <w:sz w:val="22"/>
          <w:szCs w:val="22"/>
        </w:rPr>
        <w:t xml:space="preserve">Kommunikationsvorlage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Deutsch</w:t>
            </w:r>
          </w:p>
        </w:tc>
        <w:tc>
          <w:tcPr>
            <w:tcW w:type="dxa" w:w="4819"/>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English</w:t>
            </w:r>
          </w:p>
        </w:tc>
      </w:tr>
      <w:tr>
        <w:trPr>
          <w:cantSplit/>
        </w:trPr>
        <w:tc>
          <w:tcPr>
            <w:tcW w:type="dxa" w:w="481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Informationen zu unserem Umweltmanagement und unseren Kennzahlen finden Sie unter [Link].</w:t>
            </w:r>
          </w:p>
        </w:tc>
        <w:tc>
          <w:tcPr>
            <w:tcW w:type="dxa" w:w="481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Information on our environmental management and our key figures is available at [link].</w:t>
            </w:r>
          </w:p>
        </w:tc>
      </w:tr>
    </w:tbl>
    <w:p>
      <w:pPr>
        <w:spacing w:after="140"/>
      </w:pPr>
    </w:p>
    <w:p>
      <w:pPr>
        <w:keepNext/>
        <w:spacing w:after="90" w:before="160"/>
      </w:pPr>
      <w:r>
        <w:rPr>
          <w:rFonts w:ascii="Aptos" w:cs="Aptos" w:eastAsia="Aptos" w:hAnsi="Aptos"/>
          <w:b/>
          <w:bCs/>
          <w:color w:val="5A5A5A"/>
          <w:sz w:val="18"/>
          <w:szCs w:val="18"/>
        </w:rPr>
        <w:t xml:space="preserve">Messrahmen Kategorie 4</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77"/>
        <w:gridCol w:w="1157"/>
        <w:gridCol w:w="1157"/>
        <w:gridCol w:w="1157"/>
        <w:gridCol w:w="1349"/>
        <w:gridCol w:w="1541"/>
      </w:tblGrid>
      <w:tr>
        <w:trPr>
          <w:tblHeader/>
        </w:trPr>
        <w:tc>
          <w:tcPr>
            <w:tcW w:type="dxa" w:w="3277"/>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Kennzahl</w:t>
            </w:r>
          </w:p>
        </w:tc>
        <w:tc>
          <w:tcPr>
            <w:tcW w:type="dxa" w:w="1157"/>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Dimension</w:t>
            </w:r>
          </w:p>
        </w:tc>
        <w:tc>
          <w:tcPr>
            <w:tcW w:type="dxa" w:w="1157"/>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Basiswert</w:t>
            </w:r>
          </w:p>
        </w:tc>
        <w:tc>
          <w:tcPr>
            <w:tcW w:type="dxa" w:w="1157"/>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Ziel</w:t>
            </w:r>
          </w:p>
        </w:tc>
        <w:tc>
          <w:tcPr>
            <w:tcW w:type="dxa" w:w="1349"/>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Ist nach 12 Monaten</w:t>
            </w:r>
          </w:p>
        </w:tc>
        <w:tc>
          <w:tcPr>
            <w:tcW w:type="dxa" w:w="1541"/>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Quelle</w:t>
            </w:r>
          </w:p>
        </w:tc>
      </w:tr>
      <w:tr>
        <w:trPr>
          <w:cantSplit/>
        </w:trPr>
        <w:tc>
          <w:tcPr>
            <w:tcW w:type="dxa" w:w="327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Angebote und Kanaltexte auf Umweltaussagen geprüft (Anteil %)</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defensiv</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54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327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Beanstandungen von Umweltaussagen durch Dritte (Anzahl)</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defensiv</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54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bl>
    <w:p>
      <w:pPr>
        <w:spacing w:after="140"/>
      </w:pPr>
    </w:p>
    <w:p>
      <w:pPr>
        <w:keepNext/>
        <w:spacing w:after="120" w:before="280"/>
      </w:pPr>
      <w:r>
        <w:rPr>
          <w:rFonts w:ascii="Aptos" w:cs="Aptos" w:eastAsia="Aptos" w:hAnsi="Aptos"/>
          <w:b/>
          <w:bCs/>
          <w:color w:val="8C5A2B"/>
          <w:sz w:val="26"/>
          <w:szCs w:val="26"/>
        </w:rPr>
        <w:t xml:space="preserve">G. Nachweisregister und Gesamtauswertung</w:t>
      </w:r>
    </w:p>
    <w:p>
      <w:pPr>
        <w:spacing w:after="140" w:before="0" w:line="300"/>
        <w:jc w:val="both"/>
      </w:pPr>
      <w:r>
        <w:rPr>
          <w:rFonts w:ascii="Aptos" w:cs="Aptos" w:eastAsia="Aptos" w:hAnsi="Aptos"/>
          <w:color w:val="1A1A1A"/>
          <w:sz w:val="21"/>
          <w:szCs w:val="21"/>
        </w:rPr>
        <w:t xml:space="preserve">Keine Vorlage geht hinaus, bevor jeder Platzhalter einen Eintrag im Nachweisregister hat. Das Register ist die Brücke zwischen Kommunikation und Umweltdaten.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120"/>
        <w:gridCol w:w="1349"/>
        <w:gridCol w:w="1349"/>
        <w:gridCol w:w="1735"/>
        <w:gridCol w:w="1542"/>
        <w:gridCol w:w="1543"/>
      </w:tblGrid>
      <w:tr>
        <w:trPr>
          <w:tblHeader/>
        </w:trPr>
        <w:tc>
          <w:tcPr>
            <w:tcW w:type="dxa" w:w="2120"/>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Aussage (Wortlaut)</w:t>
            </w:r>
          </w:p>
        </w:tc>
        <w:tc>
          <w:tcPr>
            <w:tcW w:type="dxa" w:w="1349"/>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Kanal / Segment</w:t>
            </w:r>
          </w:p>
        </w:tc>
        <w:tc>
          <w:tcPr>
            <w:tcW w:type="dxa" w:w="1349"/>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Wert und Basisjahr</w:t>
            </w:r>
          </w:p>
        </w:tc>
        <w:tc>
          <w:tcPr>
            <w:tcW w:type="dxa" w:w="1735"/>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Nachweis (Dokument)</w:t>
            </w:r>
          </w:p>
        </w:tc>
        <w:tc>
          <w:tcPr>
            <w:tcW w:type="dxa" w:w="1542"/>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Geprüft von, Datum</w:t>
            </w:r>
          </w:p>
        </w:tc>
        <w:tc>
          <w:tcPr>
            <w:tcW w:type="dxa" w:w="1543"/>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Nächste Prüfung</w:t>
            </w:r>
          </w:p>
        </w:tc>
      </w:tr>
      <w:tr>
        <w:trPr>
          <w:cantSplit/>
        </w:trPr>
        <w:tc>
          <w:tcPr>
            <w:tcW w:type="dxa" w:w="21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54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21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54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21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54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21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54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bl>
    <w:p>
      <w:pPr>
        <w:spacing w:after="14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5301"/>
        <w:gridCol w:w="4337"/>
      </w:tblGrid>
      <w:tr>
        <w:trPr>
          <w:tblHeader/>
        </w:trPr>
        <w:tc>
          <w:tcPr>
            <w:tcW w:type="dxa" w:w="5301"/>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Gesamtauswertung (jährlich)</w:t>
            </w:r>
          </w:p>
        </w:tc>
        <w:tc>
          <w:tcPr>
            <w:tcW w:type="dxa" w:w="4337"/>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Eintrag</w:t>
            </w:r>
          </w:p>
        </w:tc>
      </w:tr>
      <w:tr>
        <w:trPr>
          <w:cantSplit/>
        </w:trPr>
        <w:tc>
          <w:tcPr>
            <w:tcW w:type="dxa" w:w="530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Defensive Dimension: gehaltene Verträge, Fragebögen, Plattformpositionierung, Finanzkonditionen</w:t>
            </w:r>
          </w:p>
        </w:tc>
        <w:tc>
          <w:tcPr>
            <w:tcW w:type="dxa" w:w="433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530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Offensive Dimension: neue Verträge, Präsenz in Zielsegmenten, Branchenanerkennungen, Durchschnittstarif</w:t>
            </w:r>
          </w:p>
        </w:tc>
        <w:tc>
          <w:tcPr>
            <w:tcW w:type="dxa" w:w="433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530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Eingesetztes Budget, getrennt vom Budget für die Systemaufrechterhaltung</w:t>
            </w:r>
          </w:p>
        </w:tc>
        <w:tc>
          <w:tcPr>
            <w:tcW w:type="dxa" w:w="433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530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Strukturierte Branchenbeteiligung: Verbände, Initiativen, Veranstaltungen (Art, Aufwand, Ergebnis)</w:t>
            </w:r>
          </w:p>
        </w:tc>
        <w:tc>
          <w:tcPr>
            <w:tcW w:type="dxa" w:w="433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530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Kalibrierung: Was wird im nächsten Jahr geändert?</w:t>
            </w:r>
          </w:p>
        </w:tc>
        <w:tc>
          <w:tcPr>
            <w:tcW w:type="dxa" w:w="433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bl>
    <w:p>
      <w:pPr>
        <w:spacing w:after="14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single" w:color="8C5A2B" w:sz="24"/>
              <w:bottom w:val="none" w:color="FFFFFF" w:sz="0"/>
              <w:right w:val="none" w:color="FFFFFF" w:sz="0"/>
            </w:tcBorders>
            <w:shd w:fill="EFE7DC" w:color="auto" w:val="clear"/>
            <w:tcMar>
              <w:top w:type="dxa" w:w="100"/>
              <w:left w:type="dxa" w:w="180"/>
              <w:bottom w:type="dxa" w:w="100"/>
              <w:right w:type="dxa" w:w="160"/>
            </w:tcMar>
          </w:tcPr>
          <w:p>
            <w:pPr>
              <w:spacing w:after="0" w:line="300"/>
            </w:pPr>
            <w:r>
              <w:rPr>
                <w:rFonts w:ascii="Aptos" w:cs="Aptos" w:eastAsia="Aptos" w:hAnsi="Aptos"/>
                <w:b/>
                <w:bCs/>
                <w:color w:val="8C5A2B"/>
                <w:sz w:val="18"/>
                <w:szCs w:val="18"/>
              </w:rPr>
              <w:t xml:space="preserve">Hinweis zu Erwartungswerten </w:t>
            </w:r>
            <w:r>
              <w:rPr>
                <w:rFonts w:ascii="Aptos" w:cs="Aptos" w:eastAsia="Aptos" w:hAnsi="Aptos"/>
                <w:color w:val="1A1A1A"/>
                <w:sz w:val="21"/>
                <w:szCs w:val="21"/>
              </w:rPr>
              <w:t xml:space="preserve">Die Umsatz- und Tarifwerte in Abschnitt 1.12 sind ausdrücklich Modellannahmen, keine belegten Branchenwerte. Das Haus setzt seine Ziele aus den eigenen Basiswerten, nicht aus diesen Annahmen.</w:t>
            </w:r>
          </w:p>
        </w:tc>
      </w:tr>
    </w:tbl>
    <w:p>
      <w:pPr>
        <w:spacing w:after="120"/>
      </w:pPr>
    </w:p>
    <w:p>
      <w:pPr>
        <w:keepNext/>
        <w:spacing w:after="120" w:before="280"/>
      </w:pPr>
      <w:r>
        <w:rPr>
          <w:rFonts w:ascii="Aptos" w:cs="Aptos" w:eastAsia="Aptos" w:hAnsi="Aptos"/>
          <w:b/>
          <w:bCs/>
          <w:color w:val="8C5A2B"/>
          <w:sz w:val="26"/>
          <w:szCs w:val="26"/>
        </w:rPr>
        <w:t xml:space="preserve">Was dieses Material nicht ist</w:t>
      </w:r>
    </w:p>
    <w:p>
      <w:pPr>
        <w:spacing w:after="140" w:before="0" w:line="300"/>
        <w:jc w:val="both"/>
      </w:pPr>
      <w:r>
        <w:rPr>
          <w:rFonts w:ascii="Aptos" w:cs="Aptos" w:eastAsia="Aptos" w:hAnsi="Aptos"/>
          <w:color w:val="1A1A1A"/>
          <w:sz w:val="21"/>
          <w:szCs w:val="21"/>
        </w:rPr>
        <w:t xml:space="preserve">Dieses Material ist eine Arbeitshilfe und kein Ersatz für die Norm ISO 14001:2026. Es ist keine Rechtsberatung: Die Zulässigkeit jeder Aussage ist am geltenden Recht des Ziellands und an den Regeln der eigenen Zertifizierungsstelle zu prüfen. Vorlagen und Kennzahlen sind an das eigene Haus anzupassen. Rechtsstand: 9. Oktober 2026.</w:t>
      </w:r>
    </w:p>
    <w:p>
      <w:pPr>
        <w:spacing w:after="140" w:before="0" w:line="300"/>
        <w:jc w:val="both"/>
      </w:pPr>
      <w:r>
        <w:rPr>
          <w:rFonts w:ascii="Aptos" w:cs="Aptos" w:eastAsia="Aptos" w:hAnsi="Aptos"/>
          <w:i/>
          <w:iCs/>
          <w:color w:val="1A1A1A"/>
          <w:sz w:val="21"/>
          <w:szCs w:val="21"/>
        </w:rPr>
        <w:t xml:space="preserve">Bezug im Buch: Band 1a, Abschnitt 1.12</w:t>
      </w:r>
    </w:p>
    <w:sectPr>
      <w:footerReference w:type="default" r:id="rId7"/>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5A5A5A"/>
        <w:sz w:val="16"/>
        <w:szCs w:val="16"/>
      </w:rPr>
      <w:t xml:space="preserve">Francesco Dore · Das Steuer und die Lupe · Band 1a · Seite </w:t>
    </w:r>
    <w:r>
      <w:rPr>
        <w:rFonts w:ascii="Aptos" w:cs="Aptos" w:eastAsia="Aptos" w:hAnsi="Aptos"/>
        <w:color w:val="5A5A5A"/>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lvl>
  </w:abstractNum>
  <w:abstractNum w:abstractNumId="3" w15:restartNumberingAfterBreak="0">
    <w:multiLevelType w:val="hybridMultilevel"/>
    <w:lvl w:ilvl="0" w15:tentative="1">
      <w:start w:val="1"/>
      <w:numFmt w:val="decimal"/>
      <w:lvlText w:val="%1."/>
      <w:lvlJc w:val="left"/>
      <w:pPr>
        <w:ind w:left="40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outlineLvl w:val="0"/>
    </w:pPr>
    <w:rPr>
      <w:rFonts w:ascii="Aptos" w:cs="Aptos" w:eastAsia="Aptos" w:hAnsi="Aptos"/>
      <w:b/>
      <w:bCs/>
      <w:color w:val="002060"/>
      <w:sz w:val="36"/>
      <w:szCs w:val="3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Francesco Dore</dc:creator>
  <cp:lastModifiedBy>Un-named</cp:lastModifiedBy>
  <cp:revision>1</cp:revision>
  <dcterms:created xsi:type="dcterms:W3CDTF">2026-10-10T03:14:59.855Z</dcterms:created>
  <dcterms:modified xsi:type="dcterms:W3CDTF">2026-10-10T03:14:59.855Z</dcterms:modified>
</cp:coreProperties>
</file>

<file path=docProps/custom.xml><?xml version="1.0" encoding="utf-8"?>
<Properties xmlns="http://schemas.openxmlformats.org/officeDocument/2006/custom-properties" xmlns:vt="http://schemas.openxmlformats.org/officeDocument/2006/docPropsVTypes"/>
</file>