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ZU ABSCHNITT 1.2</w:t>
      </w:r>
    </w:p>
    <w:p>
      <w:pPr>
        <w:pStyle w:val="Heading1"/>
        <w:spacing w:after="120" w:line="360"/>
      </w:pPr>
      <w:r>
        <w:rPr>
          <w:rFonts w:ascii="Aptos" w:cs="Aptos" w:eastAsia="Aptos" w:hAnsi="Aptos"/>
          <w:b/>
          <w:bCs/>
          <w:color w:val="002060"/>
          <w:sz w:val="36"/>
          <w:szCs w:val="36"/>
        </w:rPr>
        <w:t xml:space="preserve">Übersichtstabelle der Neuerungen Abschnitt für Abschnitt</w:t>
      </w:r>
    </w:p>
    <w:p>
      <w:pPr>
        <w:spacing w:after="200"/>
      </w:pPr>
      <w:r>
        <w:rPr>
          <w:rFonts w:ascii="Aptos" w:cs="Aptos" w:eastAsia="Aptos" w:hAnsi="Aptos"/>
          <w:i/>
          <w:iCs/>
          <w:color w:val="5A5A5A"/>
          <w:sz w:val="22"/>
          <w:szCs w:val="22"/>
        </w:rPr>
        <w:t xml:space="preserve">ISO 14001:2026 gegenüber ISO 14001:2015 einschließlich Amd 1:2024, mit Spalte für die Lückenanalyse</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Die Tabelle gibt wieder, was Band 1a über die Revision feststellt. Sie enthält keinen Normtext. Wo das Buch zu einem Abschnitt schweigt, steht dort ein Prüfauftrag an der veröffentlichten Fassung vom 15. April 2026.</w:t>
            </w:r>
          </w:p>
        </w:tc>
      </w:tr>
    </w:tbl>
    <w:p>
      <w:pPr>
        <w:spacing w:after="120"/>
      </w:pPr>
    </w:p>
    <w:p>
      <w:pPr>
        <w:keepNext/>
        <w:spacing w:after="120" w:before="280"/>
      </w:pPr>
      <w:r>
        <w:rPr>
          <w:rFonts w:ascii="Aptos" w:cs="Aptos" w:eastAsia="Aptos" w:hAnsi="Aptos"/>
          <w:b/>
          <w:bCs/>
          <w:color w:val="8C5A2B"/>
          <w:sz w:val="26"/>
          <w:szCs w:val="26"/>
        </w:rPr>
        <w:t xml:space="preserve">A. So lesen Sie die Tabelle</w:t>
      </w:r>
    </w:p>
    <w:p>
      <w:pPr>
        <w:spacing w:after="140" w:before="0" w:line="300"/>
        <w:jc w:val="both"/>
      </w:pPr>
      <w:r>
        <w:rPr>
          <w:rFonts w:ascii="Aptos" w:cs="Aptos" w:eastAsia="Aptos" w:hAnsi="Aptos"/>
          <w:color w:val="1A1A1A"/>
          <w:sz w:val="21"/>
          <w:szCs w:val="21"/>
        </w:rPr>
        <w:t xml:space="preserve">Die ISO 14001:2026 ist eine technische Revision der Ausgabe 2015 einschließlich Amd 1:2024. Sie behält die harmonisierte Struktur mit zehn Abschnitten bei. Am Anfang des Übergangs steht deshalb eine Lückenanalyse, keine Neukonzeption des ganzen Systems.</w:t>
      </w:r>
    </w:p>
    <w:p>
      <w:pPr>
        <w:spacing w:after="140" w:before="0" w:line="300"/>
        <w:jc w:val="both"/>
      </w:pPr>
      <w:r>
        <w:rPr>
          <w:rFonts w:ascii="Aptos" w:cs="Aptos" w:eastAsia="Aptos" w:hAnsi="Aptos"/>
          <w:color w:val="1A1A1A"/>
          <w:sz w:val="21"/>
          <w:szCs w:val="21"/>
        </w:rPr>
        <w:t xml:space="preserve">Die Tabelle hat fünf Spalten. So arbeiten Sie mit ihnen:</w:t>
      </w:r>
    </w:p>
    <w:p>
      <w:pPr>
        <w:pStyle w:val="ListParagraph"/>
        <w:numPr>
          <w:ilvl w:val="0"/>
          <w:numId w:val="2"/>
        </w:numPr>
        <w:spacing w:after="70" w:line="290"/>
        <w:jc w:val="left"/>
      </w:pPr>
      <w:r>
        <w:rPr>
          <w:rFonts w:ascii="Aptos" w:cs="Aptos" w:eastAsia="Aptos" w:hAnsi="Aptos"/>
          <w:b/>
          <w:bCs/>
          <w:color w:val="1A1A1A"/>
          <w:sz w:val="21"/>
          <w:szCs w:val="21"/>
        </w:rPr>
        <w:t xml:space="preserve">Abschnitt der Norm.</w:t>
      </w:r>
      <w:r>
        <w:rPr>
          <w:rFonts w:ascii="Aptos" w:cs="Aptos" w:eastAsia="Aptos" w:hAnsi="Aptos"/>
          <w:color w:val="1A1A1A"/>
          <w:sz w:val="21"/>
          <w:szCs w:val="21"/>
        </w:rPr>
        <w:t xml:space="preserve"> Nummer und Thema, wie das Buch sie verwendet. Unterabschnitte erscheinen nur, wenn das Buch sie behandelt.</w:t>
      </w:r>
    </w:p>
    <w:p>
      <w:pPr>
        <w:pStyle w:val="ListParagraph"/>
        <w:numPr>
          <w:ilvl w:val="0"/>
          <w:numId w:val="2"/>
        </w:numPr>
        <w:spacing w:after="70" w:line="290"/>
        <w:jc w:val="left"/>
      </w:pPr>
      <w:r>
        <w:rPr>
          <w:rFonts w:ascii="Aptos" w:cs="Aptos" w:eastAsia="Aptos" w:hAnsi="Aptos"/>
          <w:b/>
          <w:bCs/>
          <w:color w:val="1A1A1A"/>
          <w:sz w:val="21"/>
          <w:szCs w:val="21"/>
        </w:rPr>
        <w:t xml:space="preserve">Ausgabe 2015 (Kern).</w:t>
      </w:r>
      <w:r>
        <w:rPr>
          <w:rFonts w:ascii="Aptos" w:cs="Aptos" w:eastAsia="Aptos" w:hAnsi="Aptos"/>
          <w:color w:val="1A1A1A"/>
          <w:sz w:val="21"/>
          <w:szCs w:val="21"/>
        </w:rPr>
        <w:t xml:space="preserve"> Was das Buch über den Stand vor der Revision sagt. Diese Spalte zitiert die Ausgabe 2015 nicht.</w:t>
      </w:r>
    </w:p>
    <w:p>
      <w:pPr>
        <w:pStyle w:val="ListParagraph"/>
        <w:numPr>
          <w:ilvl w:val="0"/>
          <w:numId w:val="2"/>
        </w:numPr>
        <w:spacing w:after="70" w:line="290"/>
        <w:jc w:val="left"/>
      </w:pPr>
      <w:r>
        <w:rPr>
          <w:rFonts w:ascii="Aptos" w:cs="Aptos" w:eastAsia="Aptos" w:hAnsi="Aptos"/>
          <w:b/>
          <w:bCs/>
          <w:color w:val="1A1A1A"/>
          <w:sz w:val="21"/>
          <w:szCs w:val="21"/>
        </w:rPr>
        <w:t xml:space="preserve">Ausgabe 2026: was ändert sich.</w:t>
      </w:r>
      <w:r>
        <w:rPr>
          <w:rFonts w:ascii="Aptos" w:cs="Aptos" w:eastAsia="Aptos" w:hAnsi="Aptos"/>
          <w:color w:val="1A1A1A"/>
          <w:sz w:val="21"/>
          <w:szCs w:val="21"/>
        </w:rPr>
        <w:t xml:space="preserve"> Fett gesetzt sind die strukturellen Neuerungen: neue 6.1.4, Verschiebung nach 6.1.5, neue 6.3. «Keine Angabe im Buch» heißt nicht «keine Änderung». Es heißt: selbst an der Norm prüfen.</w:t>
      </w:r>
    </w:p>
    <w:p>
      <w:pPr>
        <w:pStyle w:val="ListParagraph"/>
        <w:numPr>
          <w:ilvl w:val="0"/>
          <w:numId w:val="2"/>
        </w:numPr>
        <w:spacing w:after="70" w:line="290"/>
        <w:jc w:val="left"/>
      </w:pPr>
      <w:r>
        <w:rPr>
          <w:rFonts w:ascii="Aptos" w:cs="Aptos" w:eastAsia="Aptos" w:hAnsi="Aptos"/>
          <w:b/>
          <w:bCs/>
          <w:color w:val="1A1A1A"/>
          <w:sz w:val="21"/>
          <w:szCs w:val="21"/>
        </w:rPr>
        <w:t xml:space="preserve">Einstufung für die Lückenanalyse.</w:t>
      </w:r>
      <w:r>
        <w:rPr>
          <w:rFonts w:ascii="Aptos" w:cs="Aptos" w:eastAsia="Aptos" w:hAnsi="Aptos"/>
          <w:color w:val="1A1A1A"/>
          <w:sz w:val="21"/>
          <w:szCs w:val="21"/>
        </w:rPr>
        <w:t xml:space="preserve"> Tragen Sie für Ihr Haus eine von drei Stufen ein: «bereits konform», «zu aktualisieren» oder «hinzuzufügen».</w:t>
      </w:r>
    </w:p>
    <w:p>
      <w:pPr>
        <w:pStyle w:val="ListParagraph"/>
        <w:numPr>
          <w:ilvl w:val="0"/>
          <w:numId w:val="2"/>
        </w:numPr>
        <w:spacing w:after="70" w:line="290"/>
        <w:jc w:val="left"/>
      </w:pPr>
      <w:r>
        <w:rPr>
          <w:rFonts w:ascii="Aptos" w:cs="Aptos" w:eastAsia="Aptos" w:hAnsi="Aptos"/>
          <w:b/>
          <w:bCs/>
          <w:color w:val="1A1A1A"/>
          <w:sz w:val="21"/>
          <w:szCs w:val="21"/>
        </w:rPr>
        <w:t xml:space="preserve">Bezug im Buch.</w:t>
      </w:r>
      <w:r>
        <w:rPr>
          <w:rFonts w:ascii="Aptos" w:cs="Aptos" w:eastAsia="Aptos" w:hAnsi="Aptos"/>
          <w:color w:val="1A1A1A"/>
          <w:sz w:val="21"/>
          <w:szCs w:val="21"/>
        </w:rPr>
        <w:t xml:space="preserve"> Die Abschnitte von Band 1a, in denen das Thema für das Hotel ausgeführt wird.</w:t>
      </w:r>
    </w:p>
    <w:p>
      <w:pPr>
        <w:keepNext/>
        <w:spacing w:after="90" w:before="200"/>
      </w:pPr>
      <w:r>
        <w:rPr>
          <w:rFonts w:ascii="Aptos" w:cs="Aptos" w:eastAsia="Aptos" w:hAnsi="Aptos"/>
          <w:b/>
          <w:bCs/>
          <w:color w:val="002060"/>
          <w:sz w:val="22"/>
          <w:szCs w:val="22"/>
        </w:rPr>
        <w:t xml:space="preserve">Die drei Stufen der Einstufung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5012"/>
        <w:gridCol w:w="2891"/>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501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Bedeutung</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Typischer Nachweis</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bereits konform</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Das bestehende System erfüllt die Anforderung wirksam, auch in der Fassung 2026.</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Verweis auf vorhandenes Dokument und gelebte Praxis</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zu aktualisieren</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 Verfahren besteht, muss aber an Nummerierung, Begriffe oder präzisierte Inhalte angepasst werden.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Geändertes Dokument, Schulungsnachweis</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hinzuzufügen</w:t>
            </w:r>
          </w:p>
        </w:tc>
        <w:tc>
          <w:tcPr>
            <w:tcW w:type="dxa" w:w="501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Für die Anforderung gibt es im System noch kein Verfahren, etwa für die Planung von Änderungen nach 6.3.</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Neues Verfahren, erste Anwendung</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Hinweis </w:t>
            </w:r>
            <w:r>
              <w:rPr>
                <w:rFonts w:ascii="Aptos" w:cs="Aptos" w:eastAsia="Aptos" w:hAnsi="Aptos"/>
                <w:color w:val="1A1A1A"/>
                <w:sz w:val="21"/>
                <w:szCs w:val="21"/>
              </w:rPr>
              <w:t xml:space="preserve">Die fünf Handlungsfelder des Buches (Klima im Kontext, Ressourcen und Kreislauf, Wertschöpfungskette, Nachhaltigkeitsvorschriften, Datenverlässlichkeit) sind eine redaktionelle Arbeitshilfe. Sie sind keine normativen Muss-Kriterien. Die Tabelle trennt deshalb Normänderung und Lesart des Buches.</w:t>
            </w:r>
          </w:p>
        </w:tc>
      </w:tr>
    </w:tbl>
    <w:p>
      <w:pPr>
        <w:spacing w:after="120"/>
      </w:pPr>
    </w:p>
    <w:p>
      <w:pPr>
        <w:keepNext/>
        <w:spacing w:after="120" w:before="280"/>
      </w:pPr>
      <w:r>
        <w:rPr>
          <w:rFonts w:ascii="Aptos" w:cs="Aptos" w:eastAsia="Aptos" w:hAnsi="Aptos"/>
          <w:b/>
          <w:bCs/>
          <w:color w:val="8C5A2B"/>
          <w:sz w:val="26"/>
          <w:szCs w:val="26"/>
        </w:rPr>
        <w:t xml:space="preserve">B. Übersichtstabelle</w:t>
      </w:r>
    </w:p>
    <w:p>
      <w:pPr>
        <w:keepNext/>
        <w:spacing w:after="90" w:before="160"/>
      </w:pPr>
      <w:r>
        <w:rPr>
          <w:rFonts w:ascii="Aptos" w:cs="Aptos" w:eastAsia="Aptos" w:hAnsi="Aptos"/>
          <w:b/>
          <w:bCs/>
          <w:color w:val="5A5A5A"/>
          <w:sz w:val="18"/>
          <w:szCs w:val="18"/>
        </w:rPr>
        <w:t xml:space="preserve">Tabelle 1 · Abschnitte 1 bis 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31"/>
        <w:gridCol w:w="2024"/>
        <w:gridCol w:w="3181"/>
        <w:gridCol w:w="1253"/>
        <w:gridCol w:w="1349"/>
      </w:tblGrid>
      <w:tr>
        <w:trPr>
          <w:tblHeader/>
        </w:trPr>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Abschnitt der Norm</w:t>
            </w:r>
          </w:p>
        </w:tc>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Ausgabe 2015 (Kern)</w:t>
            </w:r>
          </w:p>
        </w:tc>
        <w:tc>
          <w:tcPr>
            <w:tcW w:type="dxa" w:w="31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Ausgabe 2026: was ändert sich</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Einstufung für die Lückenanalyse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Bezug im Buch</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 bis 3 · Anwendungsbereich, normative Verweise, Begriffe</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beschreibt den Inhalt der Ausgabe 2015 hier nicht.</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nennt keine Änderung. Die Struktur mit zehn Abschnitten bleibt erhalten. Begriffe an der veröffentlichten Fassung prüfen.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1.2; Glossar «ISO 14001:2026»</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4.1 · Verstehen der Organisation und ihres Kontexts</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Bestimmung relevanter externer und interner Themen. Amd 1:2024 nahm die Relevanz des Klimawandels ausdrücklich auf. Die doppelte Perspektive war bereits angelegt.</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Ausdrücklich genannt werden Umweltbedingungen, die die Organisation beeinflusst oder die auf sie einwirken können. Die Aufzählung ist nicht abschließend («unter anderem»): Verschmutzungsniveau, Nutzung und Verfügbarkeit natürlicher Ressourcen, Klimawandel, Biodiversität, Ökosystemzustand. Der Klimabezug aus Amd 1:2024 ist übernommen.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Vorwort; 1.1; 1.2; 1.3; 2.1; Quellen</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4.2 · Erfordernisse und Erwartungen interessierter Parteien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Amd 1:2024 ergänzte eine Anmerkung zum Klimawandel in 4.2.</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beschreibt keine neue Anforderung. Investoren, Banken oder Corporate-Kunden können je nach Sachverhalt relevant sein. Ein 2026 neu vorgeschriebener Personenkreis ist das nicht.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1.1; 1.2; 2.1; Quellen</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4.3 · Festlegung des Anwendungsbereichs</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Die Lebenswegperspektive war bereits Bestandteil der Ausgabe 2015.</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nennt die Lebenswegperspektive in 4.3 als Änderung. Berücksichtigt wird die Fähigkeit zur Steuerung und Einflussnahme über den Lebensweg. Relevante Klimarisiken dürfen nicht durch unangemessene Abgrenzung ausgeblendet werden.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1.8; 2.1; Quellen</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4.4 · Umweltmanagementsystem</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 An der veröffentlichten Fassung prüfen.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nicht behandelt</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5 · Führung (5.1, 5.2, 5.3)</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Wie schon 2015 übernimmt die oberste Leitung die Verantwortung für die Wirksamkeit des Systems.</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beschreibt keine formale Änderung. Es nennt für 5.2 eine Anmerkung mit Klimaschutz und Klimaanpassung als mögliche Verpflichtungen. Ob diese Anmerkung neu ist, sagt das Buch nicht. Die Verbindung zur Daten-Governance ist Lesart des Buches.</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1.2; 1.11; 2.2</w:t>
            </w:r>
          </w:p>
        </w:tc>
      </w:tr>
    </w:tbl>
    <w:p>
      <w:pPr>
        <w:spacing w:after="140"/>
      </w:pPr>
    </w:p>
    <w:p>
      <w:pPr>
        <w:keepNext/>
        <w:spacing w:after="90" w:before="160"/>
      </w:pPr>
      <w:r>
        <w:rPr>
          <w:rFonts w:ascii="Aptos" w:cs="Aptos" w:eastAsia="Aptos" w:hAnsi="Aptos"/>
          <w:b/>
          <w:bCs/>
          <w:color w:val="5A5A5A"/>
          <w:sz w:val="18"/>
          <w:szCs w:val="18"/>
        </w:rPr>
        <w:t xml:space="preserve">Tabelle 2 · Abschnitt 6 Planung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31"/>
        <w:gridCol w:w="2024"/>
        <w:gridCol w:w="3181"/>
        <w:gridCol w:w="1253"/>
        <w:gridCol w:w="1349"/>
      </w:tblGrid>
      <w:tr>
        <w:trPr>
          <w:tblHeader/>
        </w:trPr>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Abschnitt der Norm</w:t>
            </w:r>
          </w:p>
        </w:tc>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Ausgabe 2015 (Kern)</w:t>
            </w:r>
          </w:p>
        </w:tc>
        <w:tc>
          <w:tcPr>
            <w:tcW w:type="dxa" w:w="31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Ausgabe 2026: was ändert sich</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Einstufung für die Lückenanalyse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Bezug im Buch</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6.1.1 · Allgemeines</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Die Bewertung von Risiken und Chancen war bereits Bestandteil der Ausgabe 2015.</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6.1.1 verlangt die Prozesse für 6.1.2 bis 6.1.5. Die Zählung reicht damit bis 6.1.5.</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1.3; 2.5</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6.1.2 · Umweltaspekte</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Lebenswegperspektive bereits enthalten. Steuerbare und beeinflussbare Aspekte.</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nennt die Lebenswegperspektive in 6.1.2 als präzisiert. Erfasst werden auch neue Tätigkeiten sowie anomale und Notfallbedingungen. Eine vollständige Scope-3-Bilanz oder Ökobilanz folgt daraus nicht.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1.2; 1.8; 1.11; 2.3</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6.1.3 · Compliance-Verpflichtungen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beschreibt keine Änderung. Verpflichtungen bestimmen, Zugang haben, Anwendung festlegen, als dokumentierte Information führen.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2.4</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6.1.4 · Risiken und Chancen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Risiken und Chancen waren Bestandteil der Ausgabe 2015. Unter der Nummer 6.1.4 stand die Planung von Maßnahmen.</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 als eigener Unterabschnitt.</w:t>
            </w:r>
            <w:r>
              <w:rPr>
                <w:rFonts w:ascii="Aptos" w:cs="Aptos" w:eastAsia="Aptos" w:hAnsi="Aptos"/>
                <w:b w:val="false"/>
                <w:bCs w:val="false"/>
                <w:color w:val="1A1A1A"/>
                <w:sz w:val="16"/>
                <w:szCs w:val="16"/>
              </w:rPr>
              <w:t xml:space="preserve"> Zu berücksichtigen sind Kontextthemen, Anforderungen interessierter Parteien und Anwendungsbereich. Risiken und Chancen ergeben sich aus Umweltaspekten, Compliance-Verpflichtungen und weiteren Themen. Einbezogen werden mögliche Wirkungen externer Umweltbedingungen. Dokumentierte Information ist verlangt. A.6.1.4 nennt den Übergang zur Kreislaufwirtschaft als mögliche Chance.</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2.5; 1.3; 2.10; Quellen</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6.1.5 · Planung von Maßnahmen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Stand in der Ausgabe 2015 unter 6.1.4.</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Verschoben von 6.1.4 nach 6.1.5.</w:t>
            </w:r>
            <w:r>
              <w:rPr>
                <w:rFonts w:ascii="Aptos" w:cs="Aptos" w:eastAsia="Aptos" w:hAnsi="Aptos"/>
                <w:b w:val="false"/>
                <w:bCs w:val="false"/>
                <w:color w:val="1A1A1A"/>
                <w:sz w:val="16"/>
                <w:szCs w:val="16"/>
              </w:rPr>
              <w:t xml:space="preserve"> Maßnahmen zu wesentlichen Umweltaspekten, Compliance-Verpflichtungen sowie Risiken und Chancen. Integration in Prozesse, Bewertung der Wirksamkeit, technologische, finanzielle, betriebliche und geschäftliche Anforderungen. Inhaltliche Änderungen beschreibt das Buch nicht.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1.9; Quellen</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6.2 · Umweltziele (6.2.1, 6.2.2)</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beschreibt keine Änderung. 6.2.1 verlangt die Berücksichtigung von Risiken und Chancen. 6.2.2 verlangt Kennzahlen zur Fortschrittsüberwachung.</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2.6; 1.7</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6.3 · Planung von Änderungen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 entsprechender Unterabschnitt. Das Buch nennt 6.3 eine mit der Revision eingeführte Klausel.</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Neu.</w:t>
            </w:r>
            <w:r>
              <w:rPr>
                <w:rFonts w:ascii="Aptos" w:cs="Aptos" w:eastAsia="Aptos" w:hAnsi="Aptos"/>
                <w:b w:val="false"/>
                <w:bCs w:val="false"/>
                <w:color w:val="1A1A1A"/>
                <w:sz w:val="16"/>
                <w:szCs w:val="16"/>
              </w:rPr>
              <w:t xml:space="preserve"> Als notwendig bestimmte Änderungen, die das System betreffen oder betreffen können, werden geplant durchgeführt und gesteuert. Die beabsichtigten Ergebnisse sollen erreichbar bleiben.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1.2; 1.11; Quellen</w:t>
            </w:r>
          </w:p>
        </w:tc>
      </w:tr>
    </w:tbl>
    <w:p>
      <w:pPr>
        <w:spacing w:after="140"/>
      </w:pPr>
    </w:p>
    <w:p>
      <w:pPr>
        <w:keepNext/>
        <w:spacing w:after="90" w:before="160"/>
      </w:pPr>
      <w:r>
        <w:rPr>
          <w:rFonts w:ascii="Aptos" w:cs="Aptos" w:eastAsia="Aptos" w:hAnsi="Aptos"/>
          <w:b/>
          <w:bCs/>
          <w:color w:val="5A5A5A"/>
          <w:sz w:val="18"/>
          <w:szCs w:val="18"/>
        </w:rPr>
        <w:t xml:space="preserve">Tabelle 3 · Abschnitte 7 bis 10 und Anhang 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31"/>
        <w:gridCol w:w="2024"/>
        <w:gridCol w:w="3181"/>
        <w:gridCol w:w="1253"/>
        <w:gridCol w:w="1349"/>
      </w:tblGrid>
      <w:tr>
        <w:trPr>
          <w:tblHeader/>
        </w:trPr>
        <w:tc>
          <w:tcPr>
            <w:tcW w:type="dxa" w:w="183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Abschnitt der Norm</w:t>
            </w:r>
          </w:p>
        </w:tc>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Ausgabe 2015 (Kern)</w:t>
            </w:r>
          </w:p>
        </w:tc>
        <w:tc>
          <w:tcPr>
            <w:tcW w:type="dxa" w:w="31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Ausgabe 2026: was ändert sich</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Einstufung für die Lückenanalyse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Bezug im Buch</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7.1 · Ressourcen; 7.2 · Kompetenz</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 An der veröffentlichten Fassung prüfen.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nicht behandelt</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7.3 · Bewusstsein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beschreibt keine Änderung. A.7.3 erläutert die Einbindung von Personen.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1.11</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7.4 · Kommunikation (7.4.1)</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Kommunizierte Umweltinformationen müssen mit den im System erzeugten Informationen übereinstimmen und verlässlich sein. Ob diese Formulierung neu ist, sagt das Buch nicht.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1.6; 1.10; 2.2</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7.5 · Dokumentierte Information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Anforderungen an dokumentierte Information waren bereits enthalten.</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Die Ausgabe 2026 verbessert Klarheit und Einbettung. Erstellung, Aktualisierung und Lenkung bleiben verlangt. Eine allgemeine Pflicht zur externen Verifizierung aller Umweltdaten besteht nicht.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Vorwort; 1.2; 1.10</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8.1 · Betriebliche Planung und Steuerung</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Steuerung beziehungsweise Beeinflussung relevanter ausgelagerter Prozesse.</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Präzisiert ist die Behandlung extern bereitgestellter Prozesse, Produkte und Dienstleistungen. Umfang festlegen, Beschaffungsanforderungen bestimmen, Umweltanforderungen an externe Anbieter einschließlich Auftragnehmer kommunizieren.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1.2; 1.8; 2.11</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8.2 · Notfallvorsorge und Gefahrenabwehr</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beschreibt keine Änderung. Klimabedingte Ereignisse sind einzubeziehen, soweit sie relevant sind. Periodische Tests, soweit praktikabel. Ein eigener Klimanotfallplan für jedes Hotel folgt daraus nicht.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1.4; 2.7</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9.1 · Überwachung, Messung, Analyse und Bewertung (9.1.1, 9.1.2)</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Überwachung, Messung, Analyse und Bewertung waren bereits enthalten.</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Klarheit und Einbettung sind verbessert. 9.1.1: Methoden für gültige Ergebnisse, soweit angemessen kalibrierte oder verifizierte Messmittel. 9.1.2: Bewertung der Einhaltung. Ein Pflichtkatalog bestimmter Kennzahlen besteht nicht.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1.2; 2.12</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9.2 · Internes Audit</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beschreibt keine Änderung. An der veröffentlichten Fassung prüfen.</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1.2</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9.3 · Managementbewertung</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Gegliedert in 9.3.1 bis 9.3.3. Eingaben und Ergebnisse bleiben laut Buch inhaltlich unverändert.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1.6; 2.12</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10 · Verbesserung</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spricht von der «Grundausrichtung der Version 2015».</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Abschnitt 10 gliedert sich in 10.1 und 10.2. Titel und Inhalt der beiden Unterabschnitte nennt das Buch nicht. An der veröffentlichten Fassung prüfen. Die adaptive Lesart ist Deutung des Buches.</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1.2; 1.3; Quellen</w:t>
            </w:r>
          </w:p>
        </w:tc>
      </w:tr>
      <w:tr>
        <w:trPr>
          <w:cantSplit/>
        </w:trPr>
        <w:tc>
          <w:tcPr>
            <w:tcW w:type="dxa" w:w="183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Anhang A · Anleitung zur Anwendung</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Keine Angabe im Buch.</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Das Buch verweist auf A.4.1 (Wettbewerbsumstände), A.5.1 und A.7.3 (Einbindung von Personen) und A.6.1.4 (Kreislaufwirtschaft als Chance). Ob diese Hinweise neu sind, sagt das Buch nicht.</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1.11; 1.12; 2.10</w:t>
            </w:r>
          </w:p>
        </w:tc>
      </w:tr>
    </w:tbl>
    <w:p>
      <w:pPr>
        <w:spacing w:after="140"/>
      </w:pPr>
    </w:p>
    <w:p>
      <w:pPr>
        <w:keepNext/>
        <w:spacing w:after="120" w:before="280"/>
      </w:pPr>
      <w:r>
        <w:rPr>
          <w:rFonts w:ascii="Aptos" w:cs="Aptos" w:eastAsia="Aptos" w:hAnsi="Aptos"/>
          <w:b/>
          <w:bCs/>
          <w:color w:val="8C5A2B"/>
          <w:sz w:val="26"/>
          <w:szCs w:val="26"/>
        </w:rPr>
        <w:t xml:space="preserve">C. Übergangsvorgaben der Akkreditierungsstellen</w:t>
      </w:r>
    </w:p>
    <w:p>
      <w:pPr>
        <w:spacing w:after="140" w:before="0" w:line="300"/>
        <w:jc w:val="both"/>
      </w:pPr>
      <w:r>
        <w:rPr>
          <w:rFonts w:ascii="Aptos" w:cs="Aptos" w:eastAsia="Aptos" w:hAnsi="Aptos"/>
          <w:color w:val="1A1A1A"/>
          <w:sz w:val="21"/>
          <w:szCs w:val="21"/>
        </w:rPr>
        <w:t xml:space="preserve">Die Übergangsfristen legt nicht ISO fest. Sie kommen von den Akkreditierungsstellen. International ist das seit 1. Januar 2026 Global ACI, Nachfolger von IAF und ILAC.</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rPr>
          <w:tblHeader/>
        </w:trPr>
        <w:tc>
          <w:tcPr>
            <w:tcW w:type="dxa" w:w="30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Vorgabe</w:t>
            </w:r>
          </w:p>
        </w:tc>
        <w:tc>
          <w:tcPr>
            <w:tcW w:type="dxa" w:w="65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Stand laut Buch (9. Oktober 2026)</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Veröffentlichung der Norm</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ISO 14001:2026, vierte Ausgabe, veröffentlicht am 15. April 2026</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Gültigkeit der Zertifikate nach Ausgabe 2015</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bis 30. April 2029</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Neue Zertifizierungen nach Ausgabe 2015</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nur noch bis Ende Oktober 2027 (Vorwort)</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Maßgebliches Übergangsdokument</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Global ACI-TECH-3-TR 2029-04-30 (M), Transition Requirements for ISO 14001:2026, Version 1.0, ausgegeben am 4. September 2026, anzuwenden seit 14. September 2026</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Nationale Akkreditierung</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Deutschland: DAkkS · Österreich: Akkreditierung Austria · Schweiz: SAS</w:t>
            </w:r>
          </w:p>
        </w:tc>
      </w:tr>
      <w:tr>
        <w:trPr>
          <w:cantSplit/>
        </w:trPr>
        <w:tc>
          <w:tcPr>
            <w:tcW w:type="dxa" w:w="30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Für das einzelne Zertifikat</w:t>
            </w:r>
          </w:p>
        </w:tc>
        <w:tc>
          <w:tcPr>
            <w:tcW w:type="dxa" w:w="65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zusätzlich die Vorgaben der zuständigen Akkreditierungs- und Zertifizierungsstelle</w:t>
            </w:r>
          </w:p>
        </w:tc>
      </w:tr>
    </w:tbl>
    <w:p>
      <w:pPr>
        <w:spacing w:after="140"/>
      </w:pPr>
    </w:p>
    <w:p>
      <w:pPr>
        <w:spacing w:after="140" w:before="0" w:line="300"/>
        <w:jc w:val="both"/>
      </w:pPr>
      <w:r>
        <w:rPr>
          <w:rFonts w:ascii="Aptos" w:cs="Aptos" w:eastAsia="Aptos" w:hAnsi="Aptos"/>
          <w:i/>
          <w:iCs/>
          <w:color w:val="1A1A1A"/>
          <w:sz w:val="21"/>
          <w:szCs w:val="21"/>
        </w:rPr>
        <w:t xml:space="preserve">Fristen können sich durch neue Veröffentlichungen ändern. Prüfen Sie den Stand vor jeder Terminplanung bei Global ACI und Ihrer Zertifizierungsstelle.</w:t>
      </w:r>
    </w:p>
    <w:p>
      <w:pPr>
        <w:keepNext/>
        <w:spacing w:after="90" w:before="200"/>
      </w:pPr>
      <w:r>
        <w:rPr>
          <w:rFonts w:ascii="Aptos" w:cs="Aptos" w:eastAsia="Aptos" w:hAnsi="Aptos"/>
          <w:b/>
          <w:bCs/>
          <w:color w:val="002060"/>
          <w:sz w:val="22"/>
          <w:szCs w:val="22"/>
        </w:rPr>
        <w:t xml:space="preserve">Arbeitsblatt: Übergangskalender des Hauses</w:t>
      </w:r>
    </w:p>
    <w:p>
      <w:pPr>
        <w:spacing w:after="140" w:before="0" w:line="300"/>
        <w:jc w:val="both"/>
      </w:pPr>
      <w:r>
        <w:rPr>
          <w:rFonts w:ascii="Aptos" w:cs="Aptos" w:eastAsia="Aptos" w:hAnsi="Aptos"/>
          <w:color w:val="1A1A1A"/>
          <w:sz w:val="21"/>
          <w:szCs w:val="21"/>
        </w:rPr>
        <w:t xml:space="preserve">Das Buch strukturiert den Übergang als Modell in drei Phasen über vierundzwanzig Monate. Tragen Sie Ihre eigenen Termine ein.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2506"/>
        <w:gridCol w:w="1928"/>
        <w:gridCol w:w="1927"/>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Schritt</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Phase (Modell des Buches)</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Termin im Haus</w:t>
            </w:r>
          </w:p>
        </w:tc>
        <w:tc>
          <w:tcPr>
            <w:tcW w:type="dxa" w:w="192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Verantwortlich</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Gültigkeit des aktuellen Zertifikats</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Lückenanalyse mit dieser Tabelle abgeschlossen</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Phase 1, Monate 1 bis 6</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Kontextanalyse und Aspektebewertung überprüft</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Phase 1, Monate 1 bis 6</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Verfahren für 6.1.4, 6.1.5 und 6.3 eingeführt</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Phase 2, Monate 7 bis 15</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Schulung des Personals</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Phase 3, Monate 16 bis 24</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Vollständiges internes Audit</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Phase 3, vor dem Übergangsaudit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Managementbewertung</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Phase 3, vor dem Übergangsaudit</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Übergangsaudit mit der Zertifizierungsstelle</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Phase 3; spätestens vor dem 30. April 2029</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D. Auswertung der Lückenanalyse</w:t>
      </w:r>
    </w:p>
    <w:p>
      <w:pPr>
        <w:spacing w:after="140" w:before="0" w:line="300"/>
        <w:jc w:val="both"/>
      </w:pPr>
      <w:r>
        <w:rPr>
          <w:rFonts w:ascii="Aptos" w:cs="Aptos" w:eastAsia="Aptos" w:hAnsi="Aptos"/>
          <w:color w:val="1A1A1A"/>
          <w:sz w:val="21"/>
          <w:szCs w:val="21"/>
        </w:rPr>
        <w:t xml:space="preserve">Übertragen Sie jede Zeile mit «zu aktualisieren» oder «hinzuzufügen» in diese Liste. Sie wird zum Maßnahmenplan des Übergangs.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7"/>
        <w:gridCol w:w="1446"/>
        <w:gridCol w:w="3181"/>
        <w:gridCol w:w="1446"/>
        <w:gridCol w:w="1253"/>
        <w:gridCol w:w="1155"/>
      </w:tblGrid>
      <w:tr>
        <w:trPr>
          <w:tblHeader/>
        </w:trPr>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Abschnitt</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Einstufung</w:t>
            </w:r>
          </w:p>
        </w:tc>
        <w:tc>
          <w:tcPr>
            <w:tcW w:type="dxa" w:w="31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Maßnahme</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Verantwortlich</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Termin</w:t>
            </w:r>
          </w:p>
        </w:tc>
        <w:tc>
          <w:tcPr>
            <w:tcW w:type="dxa" w:w="11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Erledigt</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31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Ein Qualitätsindikator des Übergangs nach Abschnitt 1.2: Anteil der operativen Kernprozesse, in denen die Neuerungen im täglichen Management angekommen sind. Dokumentiert allein genügt nicht.</w:t>
      </w: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ersetzt nicht die Norm. Maßgeblich ist allein der veröffentlichte Text der ISO 14001:2026. Es ist keine Rechtsberatung und keine Auslegung durch eine Zertifizierungsstelle. Jedes Haus passt die Einstufung an sein eigenes System an. Rechtsstand und Stand der Übergangsvorgaben: 9. Oktober 2026.</w:t>
      </w:r>
    </w:p>
    <w:p>
      <w:pPr>
        <w:spacing w:after="140" w:before="0" w:line="300"/>
        <w:jc w:val="both"/>
      </w:pPr>
      <w:r>
        <w:rPr>
          <w:rFonts w:ascii="Aptos" w:cs="Aptos" w:eastAsia="Aptos" w:hAnsi="Aptos"/>
          <w:b/>
          <w:bCs/>
          <w:color w:val="1A1A1A"/>
          <w:sz w:val="21"/>
          <w:szCs w:val="21"/>
        </w:rPr>
        <w:t xml:space="preserve">Bezug im Buch: Band 1a, Abschnitt 1.2</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2026-10-10T03:16:39.510Z</dcterms:created>
  <dcterms:modified xsi:type="dcterms:W3CDTF">2026-10-10T03:16:39.510Z</dcterms:modified>
</cp:coreProperties>
</file>

<file path=docProps/custom.xml><?xml version="1.0" encoding="utf-8"?>
<Properties xmlns="http://schemas.openxmlformats.org/officeDocument/2006/custom-properties" xmlns:vt="http://schemas.openxmlformats.org/officeDocument/2006/docPropsVTypes"/>
</file>