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pPr>
      <w:r>
        <w:rPr>
          <w:rFonts w:ascii="Aptos" w:cs="Aptos" w:eastAsia="Aptos" w:hAnsi="Aptos"/>
          <w:color w:val="5A5A5A"/>
          <w:sz w:val="18"/>
          <w:szCs w:val="18"/>
        </w:rPr>
        <w:t xml:space="preserve">Das Steuer und die Lupe · Band 1a · ISO 14001:2026</w:t>
      </w:r>
    </w:p>
    <w:p>
      <w:pPr>
        <w:spacing w:after="200"/>
      </w:pPr>
      <w:r>
        <w:rPr>
          <w:rFonts w:ascii="Aptos" w:cs="Aptos" w:eastAsia="Aptos" w:hAnsi="Aptos"/>
          <w:b/>
          <w:bCs/>
          <w:color w:val="8C5A2B"/>
          <w:sz w:val="18"/>
          <w:szCs w:val="18"/>
        </w:rPr>
        <w:t xml:space="preserve">ONLINE-MATERIAL ZU ABSCHNITT 1.4</w:t>
      </w:r>
    </w:p>
    <w:p>
      <w:pPr>
        <w:pStyle w:val="Heading1"/>
        <w:spacing w:after="120" w:line="360"/>
      </w:pPr>
      <w:r>
        <w:rPr>
          <w:rFonts w:ascii="Aptos" w:cs="Aptos" w:eastAsia="Aptos" w:hAnsi="Aptos"/>
          <w:b/>
          <w:bCs/>
          <w:color w:val="002060"/>
          <w:sz w:val="36"/>
          <w:szCs w:val="36"/>
        </w:rPr>
        <w:t xml:space="preserve">Klimaszenarien nach DACH-Region für das Gastgewerbe</w:t>
      </w:r>
    </w:p>
    <w:p>
      <w:pPr>
        <w:spacing w:after="200"/>
      </w:pPr>
      <w:r>
        <w:rPr>
          <w:rFonts w:ascii="Aptos" w:cs="Aptos" w:eastAsia="Aptos" w:hAnsi="Aptos"/>
          <w:i/>
          <w:iCs/>
          <w:color w:val="5A5A5A"/>
          <w:sz w:val="22"/>
          <w:szCs w:val="22"/>
        </w:rPr>
        <w:t xml:space="preserve">Mit Bewertungsmethodik für Wasserrisiko und Klimarisiko von Hotelassets und dem Arbeitsblatt «Klimasignale meines Standorts»</w:t>
      </w:r>
    </w:p>
    <w:p>
      <w:pPr>
        <w:pBdr>
          <w:bottom w:val="single" w:color="C9BBA6" w:sz="6" w:space="4"/>
        </w:pBdr>
        <w:spacing w:after="240"/>
      </w:pPr>
      <w:r>
        <w:rPr>
          <w:rFonts w:ascii="Aptos" w:cs="Aptos" w:eastAsia="Aptos" w:hAnsi="Aptos"/>
          <w:color w:val="5A5A5A"/>
          <w:sz w:val="17"/>
          <w:szCs w:val="17"/>
        </w:rPr>
        <w:t xml:space="preserve">Stand: 9. Oktober 2026 · buecher.effedore.com</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Borders>
              <w:top w:val="none" w:color="FFFFFF" w:sz="0"/>
              <w:left w:val="single" w:color="8C5A2B" w:sz="24"/>
              <w:bottom w:val="none" w:color="FFFFFF" w:sz="0"/>
              <w:right w:val="none" w:color="FFFFFF" w:sz="0"/>
            </w:tcBorders>
            <w:shd w:fill="EFE7DC" w:color="auto" w:val="clear"/>
            <w:tcMar>
              <w:top w:type="dxa" w:w="100"/>
              <w:left w:type="dxa" w:w="180"/>
              <w:bottom w:type="dxa" w:w="100"/>
              <w:right w:type="dxa" w:w="160"/>
            </w:tcMar>
          </w:tcPr>
          <w:p>
            <w:pPr>
              <w:spacing w:after="80" w:line="300"/>
            </w:pPr>
            <w:r>
              <w:rPr>
                <w:rFonts w:ascii="Aptos" w:cs="Aptos" w:eastAsia="Aptos" w:hAnsi="Aptos"/>
                <w:b/>
                <w:bCs/>
                <w:color w:val="8C5A2B"/>
                <w:sz w:val="18"/>
                <w:szCs w:val="18"/>
              </w:rPr>
              <w:t xml:space="preserve">Zu diesem Material </w:t>
            </w:r>
            <w:r>
              <w:rPr>
                <w:rFonts w:ascii="Aptos" w:cs="Aptos" w:eastAsia="Aptos" w:hAnsi="Aptos"/>
                <w:color w:val="1A1A1A"/>
                <w:sz w:val="21"/>
                <w:szCs w:val="21"/>
              </w:rPr>
              <w:t xml:space="preserve">Abschnitt 1.4 verspricht zwei Materialien: eine Zusammenfassung der Klimaszenarien nach Region und eine Bewertungsmethodik. Beide stehen hier, als Teil A und Teil B. Teil C ist das Arbeitsblatt.</w:t>
            </w:r>
          </w:p>
          <w:p>
            <w:pPr>
              <w:spacing w:after="0" w:line="300"/>
            </w:pPr>
            <w:r>
              <w:rPr>
                <w:rFonts w:ascii="Aptos" w:cs="Aptos" w:eastAsia="Aptos" w:hAnsi="Aptos"/>
                <w:color w:val="1A1A1A"/>
                <w:sz w:val="21"/>
                <w:szCs w:val="21"/>
              </w:rPr>
              <w:t xml:space="preserve">Das Material nennt nur Klimasignale und Werte, die im Buch stehen. Projektionswerte für Ihren Standort entnehmen Sie der amtlichen Quelle, mit Szenario und Referenzperiode. Die Anwendungsbeispiele sind die Kompositfälle des Buches.</w:t>
            </w:r>
          </w:p>
        </w:tc>
      </w:tr>
    </w:tbl>
    <w:p>
      <w:pPr>
        <w:spacing w:after="120"/>
      </w:pPr>
    </w:p>
    <w:p>
      <w:pPr>
        <w:keepNext/>
        <w:spacing w:after="120" w:before="280"/>
      </w:pPr>
      <w:r>
        <w:rPr>
          <w:rFonts w:ascii="Aptos" w:cs="Aptos" w:eastAsia="Aptos" w:hAnsi="Aptos"/>
          <w:b/>
          <w:bCs/>
          <w:color w:val="8C5A2B"/>
          <w:sz w:val="26"/>
          <w:szCs w:val="26"/>
        </w:rPr>
        <w:t xml:space="preserve">A. Klimaszenarien nach Makroregion</w:t>
      </w:r>
    </w:p>
    <w:p>
      <w:pPr>
        <w:keepNext/>
        <w:spacing w:after="90" w:before="200"/>
      </w:pPr>
      <w:r>
        <w:rPr>
          <w:rFonts w:ascii="Aptos" w:cs="Aptos" w:eastAsia="Aptos" w:hAnsi="Aptos"/>
          <w:b/>
          <w:bCs/>
          <w:color w:val="002060"/>
          <w:sz w:val="22"/>
          <w:szCs w:val="22"/>
        </w:rPr>
        <w:t xml:space="preserve">A.1 Die amtlichen Quellen</w:t>
      </w:r>
    </w:p>
    <w:p>
      <w:pPr>
        <w:spacing w:after="140" w:before="0" w:line="300"/>
        <w:jc w:val="both"/>
      </w:pPr>
      <w:r>
        <w:rPr>
          <w:rFonts w:ascii="Aptos" w:cs="Aptos" w:eastAsia="Aptos" w:hAnsi="Aptos"/>
          <w:color w:val="1A1A1A"/>
          <w:sz w:val="21"/>
          <w:szCs w:val="21"/>
        </w:rPr>
        <w:t xml:space="preserve">Das Buch stützt Kontextanalyse und Risikobewertung auf regionalisierte Klimaszenarien. Generische nationale Daten statt standortspezifischer Regionaldaten nennt es das häufigste Qualitätsdefizit.</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542"/>
        <w:gridCol w:w="4819"/>
        <w:gridCol w:w="3277"/>
      </w:tblGrid>
      <w:tr>
        <w:trPr>
          <w:tblHeader/>
        </w:trPr>
        <w:tc>
          <w:tcPr>
            <w:tcW w:type="dxa" w:w="1542"/>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8"/>
                <w:szCs w:val="18"/>
              </w:rPr>
              <w:t xml:space="preserve">Land</w:t>
            </w:r>
          </w:p>
        </w:tc>
        <w:tc>
          <w:tcPr>
            <w:tcW w:type="dxa" w:w="4819"/>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8"/>
                <w:szCs w:val="18"/>
              </w:rPr>
              <w:t xml:space="preserve">Szenarien und Daten</w:t>
            </w:r>
          </w:p>
        </w:tc>
        <w:tc>
          <w:tcPr>
            <w:tcW w:type="dxa" w:w="3277"/>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8"/>
                <w:szCs w:val="18"/>
              </w:rPr>
              <w:t xml:space="preserve">Ergänzende Stellen laut Buch</w:t>
            </w:r>
          </w:p>
        </w:tc>
      </w:tr>
      <w:tr>
        <w:trPr>
          <w:cantSplit/>
        </w:trPr>
        <w:tc>
          <w:tcPr>
            <w:tcW w:type="dxa" w:w="154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Deutschland</w:t>
            </w:r>
          </w:p>
        </w:tc>
        <w:tc>
          <w:tcPr>
            <w:tcW w:type="dxa" w:w="481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Deutscher Wetterdienst (DWD): regionalisierte Szenarien, Deutscher Klimaatlas, Zeitreihen, Klimabulletins. Ergänzend das Potsdam-Institut für Klimafolgenforschung (PIK).</w:t>
            </w:r>
          </w:p>
        </w:tc>
        <w:tc>
          <w:tcPr>
            <w:tcW w:type="dxa" w:w="327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Landesämter für Umwelt; an der Küste BSH und Norddeutsches Klimabüro am Helmholtz-Zentrum Hereon</w:t>
            </w:r>
          </w:p>
        </w:tc>
      </w:tr>
      <w:tr>
        <w:trPr>
          <w:cantSplit/>
        </w:trPr>
        <w:tc>
          <w:tcPr>
            <w:tcW w:type="dxa" w:w="154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Österreich</w:t>
            </w:r>
          </w:p>
        </w:tc>
        <w:tc>
          <w:tcPr>
            <w:tcW w:type="dxa" w:w="481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GeoSphere Austria (vormals ZAMG): Klimaszenarien ÖKS15</w:t>
            </w:r>
          </w:p>
        </w:tc>
        <w:tc>
          <w:tcPr>
            <w:tcW w:type="dxa" w:w="327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Hydrographischer Dienst des Landes</w:t>
            </w:r>
          </w:p>
        </w:tc>
      </w:tr>
      <w:tr>
        <w:trPr>
          <w:cantSplit/>
        </w:trPr>
        <w:tc>
          <w:tcPr>
            <w:tcW w:type="dxa" w:w="154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Schweiz</w:t>
            </w:r>
          </w:p>
        </w:tc>
        <w:tc>
          <w:tcPr>
            <w:tcW w:type="dxa" w:w="481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MeteoSchweiz und ETH Zürich: Klimaszenarien CH2025</w:t>
            </w:r>
          </w:p>
        </w:tc>
        <w:tc>
          <w:tcPr>
            <w:tcW w:type="dxa" w:w="327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BAFU (Klimaanpassung, Hydro-CH2018); SLF (Lawinen, Permafrost)</w:t>
            </w:r>
          </w:p>
        </w:tc>
      </w:tr>
    </w:tbl>
    <w:p>
      <w:pPr>
        <w:spacing w:after="140"/>
      </w:pPr>
    </w:p>
    <w:p>
      <w:pPr>
        <w:keepNext/>
        <w:spacing w:after="90" w:before="200"/>
      </w:pPr>
      <w:r>
        <w:rPr>
          <w:rFonts w:ascii="Aptos" w:cs="Aptos" w:eastAsia="Aptos" w:hAnsi="Aptos"/>
          <w:b/>
          <w:bCs/>
          <w:color w:val="002060"/>
          <w:sz w:val="22"/>
          <w:szCs w:val="22"/>
        </w:rPr>
        <w:t xml:space="preserve">A.2 Worauf Sie beim Lesen achten</w:t>
      </w:r>
    </w:p>
    <w:p>
      <w:pPr>
        <w:pStyle w:val="ListParagraph"/>
        <w:numPr>
          <w:ilvl w:val="0"/>
          <w:numId w:val="2"/>
        </w:numPr>
        <w:spacing w:after="70" w:line="290"/>
        <w:jc w:val="left"/>
      </w:pPr>
      <w:r>
        <w:rPr>
          <w:rFonts w:ascii="Aptos" w:cs="Aptos" w:eastAsia="Aptos" w:hAnsi="Aptos"/>
          <w:b/>
          <w:bCs/>
          <w:color w:val="1A1A1A"/>
          <w:sz w:val="21"/>
          <w:szCs w:val="21"/>
        </w:rPr>
        <w:t xml:space="preserve">Szenario.</w:t>
      </w:r>
      <w:r>
        <w:rPr>
          <w:rFonts w:ascii="Aptos" w:cs="Aptos" w:eastAsia="Aptos" w:hAnsi="Aptos"/>
          <w:color w:val="1A1A1A"/>
          <w:sz w:val="21"/>
          <w:szCs w:val="21"/>
        </w:rPr>
        <w:t xml:space="preserve"> Jeder Wert gilt für ein bestimmtes Emissionsszenario oder einen Erwärmungsgrad. CH2025 rechnet zum Beispiel mit globalen Erwärmungsgraden.</w:t>
      </w:r>
    </w:p>
    <w:p>
      <w:pPr>
        <w:pStyle w:val="ListParagraph"/>
        <w:numPr>
          <w:ilvl w:val="0"/>
          <w:numId w:val="2"/>
        </w:numPr>
        <w:spacing w:after="70" w:line="290"/>
        <w:jc w:val="left"/>
      </w:pPr>
      <w:r>
        <w:rPr>
          <w:rFonts w:ascii="Aptos" w:cs="Aptos" w:eastAsia="Aptos" w:hAnsi="Aptos"/>
          <w:b/>
          <w:bCs/>
          <w:color w:val="1A1A1A"/>
          <w:sz w:val="21"/>
          <w:szCs w:val="21"/>
        </w:rPr>
        <w:t xml:space="preserve">Referenzperiode.</w:t>
      </w:r>
      <w:r>
        <w:rPr>
          <w:rFonts w:ascii="Aptos" w:cs="Aptos" w:eastAsia="Aptos" w:hAnsi="Aptos"/>
          <w:color w:val="1A1A1A"/>
          <w:sz w:val="21"/>
          <w:szCs w:val="21"/>
        </w:rPr>
        <w:t xml:space="preserve"> Notieren Sie, wogegen verglichen wird. Die DWD-Zeitreihen im Buch vergleichen mit 1961 bis 1990.</w:t>
      </w:r>
    </w:p>
    <w:p>
      <w:pPr>
        <w:pStyle w:val="ListParagraph"/>
        <w:numPr>
          <w:ilvl w:val="0"/>
          <w:numId w:val="2"/>
        </w:numPr>
        <w:spacing w:after="70" w:line="290"/>
        <w:jc w:val="left"/>
      </w:pPr>
      <w:r>
        <w:rPr>
          <w:rFonts w:ascii="Aptos" w:cs="Aptos" w:eastAsia="Aptos" w:hAnsi="Aptos"/>
          <w:b/>
          <w:bCs/>
          <w:color w:val="1A1A1A"/>
          <w:sz w:val="21"/>
          <w:szCs w:val="21"/>
        </w:rPr>
        <w:t xml:space="preserve">Horizont.</w:t>
      </w:r>
      <w:r>
        <w:rPr>
          <w:rFonts w:ascii="Aptos" w:cs="Aptos" w:eastAsia="Aptos" w:hAnsi="Aptos"/>
          <w:color w:val="1A1A1A"/>
          <w:sz w:val="21"/>
          <w:szCs w:val="21"/>
        </w:rPr>
        <w:t xml:space="preserve"> Das Buch bewertet auf zwei Horizonten: 2030 und 2050.</w:t>
      </w:r>
    </w:p>
    <w:p>
      <w:pPr>
        <w:pStyle w:val="ListParagraph"/>
        <w:numPr>
          <w:ilvl w:val="0"/>
          <w:numId w:val="2"/>
        </w:numPr>
        <w:spacing w:after="70" w:line="290"/>
        <w:jc w:val="left"/>
      </w:pPr>
      <w:r>
        <w:rPr>
          <w:rFonts w:ascii="Aptos" w:cs="Aptos" w:eastAsia="Aptos" w:hAnsi="Aptos"/>
          <w:b/>
          <w:bCs/>
          <w:color w:val="1A1A1A"/>
          <w:sz w:val="21"/>
          <w:szCs w:val="21"/>
        </w:rPr>
        <w:t xml:space="preserve">Variablen.</w:t>
      </w:r>
      <w:r>
        <w:rPr>
          <w:rFonts w:ascii="Aptos" w:cs="Aptos" w:eastAsia="Aptos" w:hAnsi="Aptos"/>
          <w:color w:val="1A1A1A"/>
          <w:sz w:val="21"/>
          <w:szCs w:val="21"/>
        </w:rPr>
        <w:t xml:space="preserve"> Für das Gastgewerbe relevant sind mittlere Sommertemperaturen, Hitzewellen, Niederschlagsregime, Trockenstress und Extremereignisse.</w:t>
      </w:r>
    </w:p>
    <w:p>
      <w:pPr>
        <w:pStyle w:val="ListParagraph"/>
        <w:numPr>
          <w:ilvl w:val="0"/>
          <w:numId w:val="2"/>
        </w:numPr>
        <w:spacing w:after="70" w:line="290"/>
        <w:jc w:val="left"/>
      </w:pPr>
      <w:r>
        <w:rPr>
          <w:rFonts w:ascii="Aptos" w:cs="Aptos" w:eastAsia="Aptos" w:hAnsi="Aptos"/>
          <w:b/>
          <w:bCs/>
          <w:color w:val="1A1A1A"/>
          <w:sz w:val="21"/>
          <w:szCs w:val="21"/>
        </w:rPr>
        <w:t xml:space="preserve">Aktualität.</w:t>
      </w:r>
      <w:r>
        <w:rPr>
          <w:rFonts w:ascii="Aptos" w:cs="Aptos" w:eastAsia="Aptos" w:hAnsi="Aptos"/>
          <w:color w:val="1A1A1A"/>
          <w:sz w:val="21"/>
          <w:szCs w:val="21"/>
        </w:rPr>
        <w:t xml:space="preserve"> Szenarien werden neu veröffentlicht. Prüfen Sie den Stand bei jeder Managementbewertung.</w:t>
      </w:r>
    </w:p>
    <w:p>
      <w:pPr>
        <w:keepNext/>
        <w:spacing w:after="90" w:before="200"/>
      </w:pPr>
      <w:r>
        <w:rPr>
          <w:rFonts w:ascii="Aptos" w:cs="Aptos" w:eastAsia="Aptos" w:hAnsi="Aptos"/>
          <w:b/>
          <w:bCs/>
          <w:color w:val="002060"/>
          <w:sz w:val="22"/>
          <w:szCs w:val="22"/>
        </w:rPr>
        <w:t xml:space="preserve">A.3 Klimasignale und Risiken nach Makroregion</w:t>
      </w:r>
    </w:p>
    <w:p>
      <w:pPr>
        <w:spacing w:after="140" w:before="0" w:line="300"/>
        <w:jc w:val="both"/>
      </w:pPr>
      <w:r>
        <w:rPr>
          <w:rFonts w:ascii="Aptos" w:cs="Aptos" w:eastAsia="Aptos" w:hAnsi="Aptos"/>
          <w:color w:val="1A1A1A"/>
          <w:sz w:val="21"/>
          <w:szCs w:val="21"/>
        </w:rPr>
        <w:t xml:space="preserve">Die Tabelle gibt wieder, was das Buch je Region nennt. Wo das Buch schweigt, steht das ausdrücklich da.</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735"/>
        <w:gridCol w:w="2891"/>
        <w:gridCol w:w="2410"/>
        <w:gridCol w:w="1831"/>
        <w:gridCol w:w="771"/>
      </w:tblGrid>
      <w:tr>
        <w:trPr>
          <w:tblHeader/>
        </w:trPr>
        <w:tc>
          <w:tcPr>
            <w:tcW w:type="dxa" w:w="1735"/>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Makroregion</w:t>
            </w:r>
          </w:p>
        </w:tc>
        <w:tc>
          <w:tcPr>
            <w:tcW w:type="dxa" w:w="2891"/>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Klimasignale laut Buch</w:t>
            </w:r>
          </w:p>
        </w:tc>
        <w:tc>
          <w:tcPr>
            <w:tcW w:type="dxa" w:w="2410"/>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Risiken für Hotels laut Buch</w:t>
            </w:r>
          </w:p>
        </w:tc>
        <w:tc>
          <w:tcPr>
            <w:tcW w:type="dxa" w:w="1831"/>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Quelle für Ihren Standort</w:t>
            </w:r>
          </w:p>
        </w:tc>
        <w:tc>
          <w:tcPr>
            <w:tcW w:type="dxa" w:w="771"/>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Bezug</w:t>
            </w:r>
          </w:p>
        </w:tc>
      </w:tr>
      <w:tr>
        <w:trPr>
          <w:cantSplit/>
        </w:trPr>
        <w:tc>
          <w:tcPr>
            <w:tcW w:type="dxa" w:w="173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Norddeutschland und Küstenregionen (Ostsee, Nordsee)</w:t>
            </w:r>
          </w:p>
        </w:tc>
        <w:tc>
          <w:tcPr>
            <w:tcW w:type="dxa" w:w="289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DWD-Zeitreihen für Mecklenburg-Vorpommern: deutlicher Anstieg der Jahresmitteltemperatur gegenüber 1961 bis 1990. DWD-Projektionen für 2035 und 2040: schärfere Sommerhitzeperioden, mehr Extremniederschläge im Herbst. Ostsee-Sturmflut vom Oktober 2023. Küstenerosion für bestimmte Strandabschnitte dokumentiert.</w:t>
            </w:r>
          </w:p>
        </w:tc>
        <w:tc>
          <w:tcPr>
            <w:tcW w:type="dxa" w:w="241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Sturmflut und Küstenabtrag an Außenanlagen. Klimatisierung an der Kapazitätsgrenze in Hitzespitzen. Sommerliche Wassernutzungsbeschränkungen in der Hauptsaison. Steigende Versicherungsprämien an exponierten Nordseeküsten.</w:t>
            </w:r>
          </w:p>
        </w:tc>
        <w:tc>
          <w:tcPr>
            <w:tcW w:type="dxa" w:w="183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DWD (Deutscher Klimaatlas); BSH; Norddeutsches Klimabüro am Helmholtz-Zentrum Hereon; Küstenschutzbehörden des Landes</w:t>
            </w:r>
          </w:p>
        </w:tc>
        <w:tc>
          <w:tcPr>
            <w:tcW w:type="dxa" w:w="77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1.4; 2.1; 2.3</w:t>
            </w:r>
          </w:p>
        </w:tc>
      </w:tr>
      <w:tr>
        <w:trPr>
          <w:cantSplit/>
        </w:trPr>
        <w:tc>
          <w:tcPr>
            <w:tcW w:type="dxa" w:w="173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Süddeutschland</w:t>
            </w:r>
          </w:p>
        </w:tc>
        <w:tc>
          <w:tcPr>
            <w:tcW w:type="dxa" w:w="289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Wachsender Trockenstress in süddeutschen Regionen. Trockensommer 2023: mehrere bayerische Landratsämter beschränkten Wasserentnahmen aus Oberflächengewässern. Szenarien des Bayerischen Landesamts für Umwelt: häufigere Niedrigwasserphasen.</w:t>
            </w:r>
          </w:p>
        </w:tc>
        <w:tc>
          <w:tcPr>
            <w:tcW w:type="dxa" w:w="241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Lokale Wassernutzungsbeschränkungen. Ernteausfälle bei regionalen Lieferanten nach Hitzewellen und Trockenstress. Waldbrand, Trockenstress und Starkniederschlag (Kompositfall Ferienresort im Schwarzwald).</w:t>
            </w:r>
          </w:p>
        </w:tc>
        <w:tc>
          <w:tcPr>
            <w:tcW w:type="dxa" w:w="183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DWD; PIK; zuständiges Landesamt für Umwelt (in Bayern das Bayerische Landesamt für Umwelt)</w:t>
            </w:r>
          </w:p>
        </w:tc>
        <w:tc>
          <w:tcPr>
            <w:tcW w:type="dxa" w:w="77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1.1; 1.4</w:t>
            </w:r>
          </w:p>
        </w:tc>
      </w:tr>
      <w:tr>
        <w:trPr>
          <w:cantSplit/>
        </w:trPr>
        <w:tc>
          <w:tcPr>
            <w:tcW w:type="dxa" w:w="173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Städte (alle drei Länder)</w:t>
            </w:r>
          </w:p>
        </w:tc>
        <w:tc>
          <w:tcPr>
            <w:tcW w:type="dxa" w:w="289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Urbane Wärmeinsel (Kompositfall München). Für Frankfurt nennt das Buch die Klimaprojektionen des Hessischen Landesamts für Naturschutz, Umwelt und Geologie (HLNUG).</w:t>
            </w:r>
          </w:p>
        </w:tc>
        <w:tc>
          <w:tcPr>
            <w:tcW w:type="dxa" w:w="241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Mehrtägige Hitzewellen mit Klimatisierung an der Grenze. Überlastung des Stromnetzes, Preisspitzen beim Strom. Wasserbeschränkungen des Versorgers. Hohes Transitionsrisiko bei schlechten Energieausweis-Kennwerten.</w:t>
            </w:r>
          </w:p>
        </w:tc>
        <w:tc>
          <w:tcPr>
            <w:tcW w:type="dxa" w:w="183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DWD und Landesamt des Bundeslandes; in Österreich GeoSphere Austria; in der Schweiz MeteoSchweiz</w:t>
            </w:r>
          </w:p>
        </w:tc>
        <w:tc>
          <w:tcPr>
            <w:tcW w:type="dxa" w:w="77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1.1; 1.2; 1.4</w:t>
            </w:r>
          </w:p>
        </w:tc>
      </w:tr>
      <w:tr>
        <w:trPr>
          <w:cantSplit/>
        </w:trPr>
        <w:tc>
          <w:tcPr>
            <w:tcW w:type="dxa" w:w="173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Österreich</w:t>
            </w:r>
          </w:p>
        </w:tc>
        <w:tc>
          <w:tcPr>
            <w:tcW w:type="dxa" w:w="289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Wachsender Trockenstress in südösterreichischen Regionen. ÖKS15 lässt häufigere Hitze- und Trockenperioden im Sommer erwarten (Beispiel Salzburg). Für alpine Lagen häufigere sommerliche Trockenperioden und variablere Quellschüttungen.</w:t>
            </w:r>
          </w:p>
        </w:tc>
        <w:tc>
          <w:tcPr>
            <w:tcW w:type="dxa" w:w="241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Wasserversorgung aus Quellen im Sommer. Lokale alpine Lieferkette unter Hitze und Dürre. Netzstabilität in Hitzespitzen. Personal bei Hitzeperioden im Außenbereich eingeschränkt.</w:t>
            </w:r>
          </w:p>
        </w:tc>
        <w:tc>
          <w:tcPr>
            <w:tcW w:type="dxa" w:w="183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GeoSphere Austria (vormals ZAMG), Klimaszenarien ÖKS15; Hydrographischer Dienst des Landes; lokale hydrologische Daten</w:t>
            </w:r>
          </w:p>
        </w:tc>
        <w:tc>
          <w:tcPr>
            <w:tcW w:type="dxa" w:w="77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1.3; 2.9</w:t>
            </w:r>
          </w:p>
        </w:tc>
      </w:tr>
      <w:tr>
        <w:trPr>
          <w:cantSplit/>
        </w:trPr>
        <w:tc>
          <w:tcPr>
            <w:tcW w:type="dxa" w:w="173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Deutschschweiz (außerhalb der Alpen)</w:t>
            </w:r>
          </w:p>
        </w:tc>
        <w:tc>
          <w:tcPr>
            <w:tcW w:type="dxa" w:w="289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Das Buch nennt für das Schweizer Mittelland keine eigenen Klimasignale. Es verweist allgemein auf CH2025.</w:t>
            </w:r>
          </w:p>
        </w:tc>
        <w:tc>
          <w:tcPr>
            <w:tcW w:type="dxa" w:w="241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Keine regionsspezifische Angabe im Buch. Die allgemeinen Risiken (Hitze, Trockenheit, Starkniederschlag) am Standort prüfen.</w:t>
            </w:r>
          </w:p>
        </w:tc>
        <w:tc>
          <w:tcPr>
            <w:tcW w:type="dxa" w:w="183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MeteoSchweiz und ETH Zürich, Klimaszenarien CH2025; BAFU (Klimaanpassung, hydrologische Szenarien Hydro-CH2018)</w:t>
            </w:r>
          </w:p>
        </w:tc>
        <w:tc>
          <w:tcPr>
            <w:tcW w:type="dxa" w:w="77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1.4; 2.1</w:t>
            </w:r>
          </w:p>
        </w:tc>
      </w:tr>
      <w:tr>
        <w:trPr>
          <w:cantSplit/>
        </w:trPr>
        <w:tc>
          <w:tcPr>
            <w:tcW w:type="dxa" w:w="173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Alpendestinationen (Österreich, Schweiz)</w:t>
            </w:r>
          </w:p>
        </w:tc>
        <w:tc>
          <w:tcPr>
            <w:tcW w:type="dxa" w:w="289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CH2025: die winterliche Nullgradgrenze steigt bei 3 °C globaler Erwärmung um rund 550 Meter. Unzuverlässiger Schnee im November und Dezember zunehmend dokumentiert. Lawinenbedingte Straßensperren nach intensiven Schneefällen auf lange Warmperioden. SLF: messbare Veränderungen der Permafrosttiefe in bestimmten Höhenlagen. Gletscherschwund.</w:t>
            </w:r>
          </w:p>
        </w:tc>
        <w:tc>
          <w:tcPr>
            <w:tcW w:type="dxa" w:w="241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Rückgang der rentablen Wintersaison. Unterbrochener Zugang zum Haus. Schäden an Berginfrastruktur und Felshängen. Abhängigkeit von Beschneiung. Wasserversorgung aus alpinen Quellen im Sommer.</w:t>
            </w:r>
          </w:p>
        </w:tc>
        <w:tc>
          <w:tcPr>
            <w:tcW w:type="dxa" w:w="183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MeteoSchweiz und ETH Zürich (CH2025); SLF (Lawinenbulletin, Permafrost); BAFU; in Österreich GeoSphere Austria (ÖKS15)</w:t>
            </w:r>
          </w:p>
        </w:tc>
        <w:tc>
          <w:tcPr>
            <w:tcW w:type="dxa" w:w="77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2.5; 2.7; 1.3</w:t>
            </w:r>
          </w:p>
        </w:tc>
      </w:tr>
      <w:tr>
        <w:trPr>
          <w:cantSplit/>
        </w:trPr>
        <w:tc>
          <w:tcPr>
            <w:tcW w:type="dxa" w:w="173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Seengebiete</w:t>
            </w:r>
          </w:p>
        </w:tc>
        <w:tc>
          <w:tcPr>
            <w:tcW w:type="dxa" w:w="289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Das Buch nennt für Seengebiete keine eigenen Klimasignale.</w:t>
            </w:r>
          </w:p>
        </w:tc>
        <w:tc>
          <w:tcPr>
            <w:tcW w:type="dxa" w:w="241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Keine regionsspezifische Angabe im Buch. Am Standort prüfen, welche Signale der Nachbarregion gelten.</w:t>
            </w:r>
          </w:p>
        </w:tc>
        <w:tc>
          <w:tcPr>
            <w:tcW w:type="dxa" w:w="183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Nationale Quelle je Land (DWD, GeoSphere Austria, MeteoSchweiz); Hydrographischer Dienst bzw. Landesamt</w:t>
            </w:r>
          </w:p>
        </w:tc>
        <w:tc>
          <w:tcPr>
            <w:tcW w:type="dxa" w:w="77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nicht behandelt</w:t>
            </w:r>
          </w:p>
        </w:tc>
      </w:tr>
    </w:tbl>
    <w:p>
      <w:pPr>
        <w:spacing w:after="14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Borders>
              <w:top w:val="none" w:color="FFFFFF" w:sz="0"/>
              <w:left w:val="single" w:color="8C5A2B" w:sz="24"/>
              <w:bottom w:val="none" w:color="FFFFFF" w:sz="0"/>
              <w:right w:val="none" w:color="FFFFFF" w:sz="0"/>
            </w:tcBorders>
            <w:shd w:fill="EFE7DC" w:color="auto" w:val="clear"/>
            <w:tcMar>
              <w:top w:type="dxa" w:w="100"/>
              <w:left w:type="dxa" w:w="180"/>
              <w:bottom w:type="dxa" w:w="100"/>
              <w:right w:type="dxa" w:w="160"/>
            </w:tcMar>
          </w:tcPr>
          <w:p>
            <w:pPr>
              <w:spacing w:after="80" w:line="300"/>
            </w:pPr>
            <w:r>
              <w:rPr>
                <w:rFonts w:ascii="Aptos" w:cs="Aptos" w:eastAsia="Aptos" w:hAnsi="Aptos"/>
                <w:b/>
                <w:bCs/>
                <w:color w:val="8C5A2B"/>
                <w:sz w:val="18"/>
                <w:szCs w:val="18"/>
              </w:rPr>
              <w:t xml:space="preserve">Modellannahmen im Buch </w:t>
            </w:r>
            <w:r>
              <w:rPr>
                <w:rFonts w:ascii="Aptos" w:cs="Aptos" w:eastAsia="Aptos" w:hAnsi="Aptos"/>
                <w:color w:val="1A1A1A"/>
                <w:sz w:val="21"/>
                <w:szCs w:val="21"/>
              </w:rPr>
              <w:t xml:space="preserve">Einige Werte im Buch sind Modellannahmen eines Falls, keine Projektionen für eine Region. Dazu gehören: im Ostsee-Fall 1,9 bis 2,6 Grad mehr Sommertemperatur bis 2050 bei mittleren Emissionen und drei- bis fünfmal häufigere Hitzephasen. Im alpinen Fall eine schneesichere Saison von 110 bis 115 statt künftig 85 bis 95 Tagen bis 2040.</w:t>
            </w:r>
          </w:p>
          <w:p>
            <w:pPr>
              <w:spacing w:after="0" w:line="300"/>
            </w:pPr>
            <w:r>
              <w:rPr>
                <w:rFonts w:ascii="Aptos" w:cs="Aptos" w:eastAsia="Aptos" w:hAnsi="Aptos"/>
                <w:color w:val="1A1A1A"/>
                <w:sz w:val="21"/>
                <w:szCs w:val="21"/>
              </w:rPr>
              <w:t xml:space="preserve">Übernehmen Sie solche Werte nicht für Ihr Haus. Sie zeigen nur, in welcher Form ein Ergebnis aussehen kann.</w:t>
            </w:r>
          </w:p>
        </w:tc>
      </w:tr>
    </w:tbl>
    <w:p>
      <w:pPr>
        <w:spacing w:after="120"/>
      </w:pPr>
    </w:p>
    <w:p>
      <w:pPr>
        <w:keepNext/>
        <w:spacing w:after="90" w:before="200"/>
      </w:pPr>
      <w:r>
        <w:rPr>
          <w:rFonts w:ascii="Aptos" w:cs="Aptos" w:eastAsia="Aptos" w:hAnsi="Aptos"/>
          <w:b/>
          <w:bCs/>
          <w:color w:val="002060"/>
          <w:sz w:val="22"/>
          <w:szCs w:val="22"/>
        </w:rPr>
        <w:t xml:space="preserve">A.4 Exposition nach Destinationskategorie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349"/>
        <w:gridCol w:w="4241"/>
        <w:gridCol w:w="4048"/>
      </w:tblGrid>
      <w:tr>
        <w:trPr>
          <w:tblHeader/>
        </w:trPr>
        <w:tc>
          <w:tcPr>
            <w:tcW w:type="dxa" w:w="1349"/>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7"/>
                <w:szCs w:val="17"/>
              </w:rPr>
              <w:t xml:space="preserve">Kategorie</w:t>
            </w:r>
          </w:p>
        </w:tc>
        <w:tc>
          <w:tcPr>
            <w:tcW w:type="dxa" w:w="4241"/>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7"/>
                <w:szCs w:val="17"/>
              </w:rPr>
              <w:t xml:space="preserve">Typische Exposition laut Buch</w:t>
            </w:r>
          </w:p>
        </w:tc>
        <w:tc>
          <w:tcPr>
            <w:tcW w:type="dxa" w:w="4048"/>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7"/>
                <w:szCs w:val="17"/>
              </w:rPr>
              <w:t xml:space="preserve">Erste Fragen an das eigene Haus</w:t>
            </w:r>
          </w:p>
        </w:tc>
      </w:tr>
      <w:tr>
        <w:trPr>
          <w:cantSplit/>
        </w:trPr>
        <w:tc>
          <w:tcPr>
            <w:tcW w:type="dxa" w:w="134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urban</w:t>
            </w:r>
          </w:p>
        </w:tc>
        <w:tc>
          <w:tcPr>
            <w:tcW w:type="dxa" w:w="424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Wärmeinsel, Hitzewellen, Netzlast, Wasserbeschränkungen, Energieausweis</w:t>
            </w:r>
          </w:p>
        </w:tc>
        <w:tc>
          <w:tcPr>
            <w:tcW w:type="dxa" w:w="404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Wie lange hält die Klimatisierung eine Hitzewelle aus? Was tun wir bei Wasserbeschränkungen?</w:t>
            </w:r>
          </w:p>
        </w:tc>
      </w:tr>
      <w:tr>
        <w:trPr>
          <w:cantSplit/>
        </w:trPr>
        <w:tc>
          <w:tcPr>
            <w:tcW w:type="dxa" w:w="134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Küste</w:t>
            </w:r>
          </w:p>
        </w:tc>
        <w:tc>
          <w:tcPr>
            <w:tcW w:type="dxa" w:w="424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Sturmflut, Küstenabtrag, Sommerhitze, Wasserverfügbarkeit in der Hauptsaison, Versicherung</w:t>
            </w:r>
          </w:p>
        </w:tc>
        <w:tc>
          <w:tcPr>
            <w:tcW w:type="dxa" w:w="404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Welche Anlagen liegen im Gefahrenbereich? Wie hoch ist der Saisonanteil am Umsatz?</w:t>
            </w:r>
          </w:p>
        </w:tc>
      </w:tr>
      <w:tr>
        <w:trPr>
          <w:cantSplit/>
        </w:trPr>
        <w:tc>
          <w:tcPr>
            <w:tcW w:type="dxa" w:w="134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Bergsee</w:t>
            </w:r>
          </w:p>
        </w:tc>
        <w:tc>
          <w:tcPr>
            <w:tcW w:type="dxa" w:w="424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Keine Angabe im Buch</w:t>
            </w:r>
          </w:p>
        </w:tc>
        <w:tc>
          <w:tcPr>
            <w:tcW w:type="dxa" w:w="404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Gelten die Signale der alpinen Lage, der Seeregion oder beide?</w:t>
            </w:r>
          </w:p>
        </w:tc>
      </w:tr>
      <w:tr>
        <w:trPr>
          <w:cantSplit/>
        </w:trPr>
        <w:tc>
          <w:tcPr>
            <w:tcW w:type="dxa" w:w="134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Thermo-Kur</w:t>
            </w:r>
          </w:p>
        </w:tc>
        <w:tc>
          <w:tcPr>
            <w:tcW w:type="dxa" w:w="424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Verfügbarkeit thermaler und hydrologischer Ressourcen; Energiezustand historischer Gebäude (Kompositfall Thermalhotel Bayern)</w:t>
            </w:r>
          </w:p>
        </w:tc>
        <w:tc>
          <w:tcPr>
            <w:tcW w:type="dxa" w:w="404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Wie sicher ist die Quelle? Welcher Anteil des Wassers geht in Spa und Bäder?</w:t>
            </w:r>
          </w:p>
        </w:tc>
      </w:tr>
      <w:tr>
        <w:trPr>
          <w:cantSplit/>
        </w:trPr>
        <w:tc>
          <w:tcPr>
            <w:tcW w:type="dxa" w:w="134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alpin</w:t>
            </w:r>
          </w:p>
        </w:tc>
        <w:tc>
          <w:tcPr>
            <w:tcW w:type="dxa" w:w="424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Schneesicherheit, Nullgradgrenze, Lawinen und Zugang, Permafrost, Quellschüttung im Sommer</w:t>
            </w:r>
          </w:p>
        </w:tc>
        <w:tc>
          <w:tcPr>
            <w:tcW w:type="dxa" w:w="404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Wie viel Umsatz hängt am Winter? Welche Zufahrt gibt es bei Sperrung?</w:t>
            </w:r>
          </w:p>
        </w:tc>
      </w:tr>
      <w:tr>
        <w:trPr>
          <w:cantSplit/>
        </w:trPr>
        <w:tc>
          <w:tcPr>
            <w:tcW w:type="dxa" w:w="134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ländlich</w:t>
            </w:r>
          </w:p>
        </w:tc>
        <w:tc>
          <w:tcPr>
            <w:tcW w:type="dxa" w:w="424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Trockenstress, Waldbrand, Starkniederschlag; regionale Lieferkette (Kompositfall Schwarzwald, Lieferanten im Allgäu)</w:t>
            </w:r>
          </w:p>
        </w:tc>
        <w:tc>
          <w:tcPr>
            <w:tcW w:type="dxa" w:w="404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Welche Lieferanten fallen bei Ernteausfall weg? Welche Monate sind Hochrisikomonate?</w:t>
            </w:r>
          </w:p>
        </w:tc>
      </w:tr>
    </w:tbl>
    <w:p>
      <w:pPr>
        <w:spacing w:after="140"/>
      </w:pPr>
    </w:p>
    <w:p>
      <w:pPr>
        <w:keepNext/>
        <w:spacing w:after="120" w:before="280"/>
      </w:pPr>
      <w:r>
        <w:rPr>
          <w:rFonts w:ascii="Aptos" w:cs="Aptos" w:eastAsia="Aptos" w:hAnsi="Aptos"/>
          <w:b/>
          <w:bCs/>
          <w:color w:val="8C5A2B"/>
          <w:sz w:val="26"/>
          <w:szCs w:val="26"/>
        </w:rPr>
        <w:t xml:space="preserve">B. Bewertungsmethodik für Wasserrisiko und Klimarisiko</w:t>
      </w:r>
    </w:p>
    <w:p>
      <w:pPr>
        <w:keepNext/>
        <w:spacing w:after="90" w:before="200"/>
      </w:pPr>
      <w:r>
        <w:rPr>
          <w:rFonts w:ascii="Aptos" w:cs="Aptos" w:eastAsia="Aptos" w:hAnsi="Aptos"/>
          <w:b/>
          <w:bCs/>
          <w:color w:val="002060"/>
          <w:sz w:val="22"/>
          <w:szCs w:val="22"/>
        </w:rPr>
        <w:t xml:space="preserve">B.1 Drei Dimensionen, zwei Horizonte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891"/>
        <w:gridCol w:w="6747"/>
      </w:tblGrid>
      <w:tr>
        <w:trPr>
          <w:tblHeader/>
        </w:trPr>
        <w:tc>
          <w:tcPr>
            <w:tcW w:type="dxa" w:w="2891"/>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8"/>
                <w:szCs w:val="18"/>
              </w:rPr>
              <w:t xml:space="preserve">Dimension</w:t>
            </w:r>
          </w:p>
        </w:tc>
        <w:tc>
          <w:tcPr>
            <w:tcW w:type="dxa" w:w="6747"/>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8"/>
                <w:szCs w:val="18"/>
              </w:rPr>
              <w:t xml:space="preserve">Inhalt nach Abschnitt 1.4</w:t>
            </w:r>
          </w:p>
        </w:tc>
      </w:tr>
      <w:tr>
        <w:trPr>
          <w:cantSplit/>
        </w:trPr>
        <w:tc>
          <w:tcPr>
            <w:tcW w:type="dxa" w:w="289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Physisches Risiko, akut</w:t>
            </w:r>
          </w:p>
        </w:tc>
        <w:tc>
          <w:tcPr>
            <w:tcW w:type="dxa" w:w="674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Extremereignisse: Hitzewellen, Sturmfluten, Überschwemmungen, Waldbrände, Murenabgänge</w:t>
            </w:r>
          </w:p>
        </w:tc>
      </w:tr>
      <w:tr>
        <w:trPr>
          <w:cantSplit/>
        </w:trPr>
        <w:tc>
          <w:tcPr>
            <w:tcW w:type="dxa" w:w="289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Physisches Risiko, chronisch</w:t>
            </w:r>
          </w:p>
        </w:tc>
        <w:tc>
          <w:tcPr>
            <w:tcW w:type="dxa" w:w="674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Fortschreitende Veränderungen: Durchschnittstemperatur, Niederschlagsregime, Meeresspiegel, Trockenstress</w:t>
            </w:r>
          </w:p>
        </w:tc>
      </w:tr>
      <w:tr>
        <w:trPr>
          <w:cantSplit/>
        </w:trPr>
        <w:tc>
          <w:tcPr>
            <w:tcW w:type="dxa" w:w="289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Transitionsrisiko</w:t>
            </w:r>
          </w:p>
        </w:tc>
        <w:tc>
          <w:tcPr>
            <w:tcW w:type="dxa" w:w="674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Emissionskosten, Investitionen in Dekarbonisierung, Reputation, regulatorische Anforderungen an Gebäude</w:t>
            </w:r>
          </w:p>
        </w:tc>
      </w:tr>
      <w:tr>
        <w:trPr>
          <w:cantSplit/>
        </w:trPr>
        <w:tc>
          <w:tcPr>
            <w:tcW w:type="dxa" w:w="289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Haftungsrisiko</w:t>
            </w:r>
          </w:p>
        </w:tc>
        <w:tc>
          <w:tcPr>
            <w:tcW w:type="dxa" w:w="674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Nicht wahrhaftige Umweltaussagen, Verstöße gegen Offenlegungspflichten, fehlende Anpassung</w:t>
            </w:r>
          </w:p>
        </w:tc>
      </w:tr>
    </w:tbl>
    <w:p>
      <w:pPr>
        <w:spacing w:after="140"/>
      </w:pPr>
    </w:p>
    <w:p>
      <w:pPr>
        <w:spacing w:after="140" w:before="0" w:line="300"/>
        <w:jc w:val="both"/>
      </w:pPr>
      <w:r>
        <w:rPr>
          <w:rFonts w:ascii="Aptos" w:cs="Aptos" w:eastAsia="Aptos" w:hAnsi="Aptos"/>
          <w:color w:val="1A1A1A"/>
          <w:sz w:val="21"/>
          <w:szCs w:val="21"/>
        </w:rPr>
        <w:t xml:space="preserve">Jede Dimension wird für 2030 und 2050 bewertet. Für Hotels im DACH-Raum ist das chronische physische Risiko auf kurzen Horizonten heute relevanter als das akute. Das Transitionsrisiko ist für viele Eigentümerschaften auf fünf bis zehn Jahre wirtschaftlich bedeutender als das physische.</w:t>
      </w:r>
    </w:p>
    <w:p>
      <w:pPr>
        <w:keepNext/>
        <w:spacing w:after="90" w:before="200"/>
      </w:pPr>
      <w:r>
        <w:rPr>
          <w:rFonts w:ascii="Aptos" w:cs="Aptos" w:eastAsia="Aptos" w:hAnsi="Aptos"/>
          <w:b/>
          <w:bCs/>
          <w:color w:val="002060"/>
          <w:sz w:val="22"/>
          <w:szCs w:val="22"/>
        </w:rPr>
        <w:t xml:space="preserve">B.2 Vorgehen in sieben Schritten</w:t>
      </w:r>
    </w:p>
    <w:p>
      <w:pPr>
        <w:pStyle w:val="ListParagraph"/>
        <w:numPr>
          <w:ilvl w:val="0"/>
          <w:numId w:val="3"/>
        </w:numPr>
        <w:spacing w:after="70" w:line="290"/>
        <w:jc w:val="left"/>
      </w:pPr>
      <w:r>
        <w:rPr>
          <w:rFonts w:ascii="Aptos" w:cs="Aptos" w:eastAsia="Aptos" w:hAnsi="Aptos"/>
          <w:b/>
          <w:bCs/>
          <w:color w:val="1A1A1A"/>
          <w:sz w:val="21"/>
          <w:szCs w:val="21"/>
        </w:rPr>
        <w:t xml:space="preserve">Standortdaten erheben.</w:t>
      </w:r>
      <w:r>
        <w:rPr>
          <w:rFonts w:ascii="Aptos" w:cs="Aptos" w:eastAsia="Aptos" w:hAnsi="Aptos"/>
          <w:color w:val="1A1A1A"/>
          <w:sz w:val="21"/>
          <w:szCs w:val="21"/>
        </w:rPr>
        <w:t xml:space="preserve"> Klimasignale aus der amtlichen Quelle in Teil C eintragen, mit Szenario, Referenzperiode und Abrufdatum.</w:t>
      </w:r>
    </w:p>
    <w:p>
      <w:pPr>
        <w:pStyle w:val="ListParagraph"/>
        <w:numPr>
          <w:ilvl w:val="0"/>
          <w:numId w:val="3"/>
        </w:numPr>
        <w:spacing w:after="70" w:line="290"/>
        <w:jc w:val="left"/>
      </w:pPr>
      <w:r>
        <w:rPr>
          <w:rFonts w:ascii="Aptos" w:cs="Aptos" w:eastAsia="Aptos" w:hAnsi="Aptos"/>
          <w:b/>
          <w:bCs/>
          <w:color w:val="1A1A1A"/>
          <w:sz w:val="21"/>
          <w:szCs w:val="21"/>
        </w:rPr>
        <w:t xml:space="preserve">Abhängigkeiten kartieren.</w:t>
      </w:r>
      <w:r>
        <w:rPr>
          <w:rFonts w:ascii="Aptos" w:cs="Aptos" w:eastAsia="Aptos" w:hAnsi="Aptos"/>
          <w:color w:val="1A1A1A"/>
          <w:sz w:val="21"/>
          <w:szCs w:val="21"/>
        </w:rPr>
        <w:t xml:space="preserve"> Für jeden Kernprozess fragen: Von welchen externen Ressourcen hängt er ab? Wann können sie knapp, rationiert oder teuer werden? Wer kontrolliert sie?</w:t>
      </w:r>
    </w:p>
    <w:p>
      <w:pPr>
        <w:pStyle w:val="ListParagraph"/>
        <w:numPr>
          <w:ilvl w:val="0"/>
          <w:numId w:val="3"/>
        </w:numPr>
        <w:spacing w:after="70" w:line="290"/>
        <w:jc w:val="left"/>
      </w:pPr>
      <w:r>
        <w:rPr>
          <w:rFonts w:ascii="Aptos" w:cs="Aptos" w:eastAsia="Aptos" w:hAnsi="Aptos"/>
          <w:b/>
          <w:bCs/>
          <w:color w:val="1A1A1A"/>
          <w:sz w:val="21"/>
          <w:szCs w:val="21"/>
        </w:rPr>
        <w:t xml:space="preserve">Vulnerabilität beschreiben.</w:t>
      </w:r>
      <w:r>
        <w:rPr>
          <w:rFonts w:ascii="Aptos" w:cs="Aptos" w:eastAsia="Aptos" w:hAnsi="Aptos"/>
          <w:color w:val="1A1A1A"/>
          <w:sz w:val="21"/>
          <w:szCs w:val="21"/>
        </w:rPr>
        <w:t xml:space="preserve"> Bauliche Merkmale, physische Exposition und operative Abhängigkeiten, etwa von Lieferketten.</w:t>
      </w:r>
    </w:p>
    <w:p>
      <w:pPr>
        <w:pStyle w:val="ListParagraph"/>
        <w:numPr>
          <w:ilvl w:val="0"/>
          <w:numId w:val="3"/>
        </w:numPr>
        <w:spacing w:after="70" w:line="290"/>
        <w:jc w:val="left"/>
      </w:pPr>
      <w:r>
        <w:rPr>
          <w:rFonts w:ascii="Aptos" w:cs="Aptos" w:eastAsia="Aptos" w:hAnsi="Aptos"/>
          <w:b/>
          <w:bCs/>
          <w:color w:val="1A1A1A"/>
          <w:sz w:val="21"/>
          <w:szCs w:val="21"/>
        </w:rPr>
        <w:t xml:space="preserve">Bewerten.</w:t>
      </w:r>
      <w:r>
        <w:rPr>
          <w:rFonts w:ascii="Aptos" w:cs="Aptos" w:eastAsia="Aptos" w:hAnsi="Aptos"/>
          <w:color w:val="1A1A1A"/>
          <w:sz w:val="21"/>
          <w:szCs w:val="21"/>
        </w:rPr>
        <w:t xml:space="preserve"> Je Risiko Wahrscheinlichkeit einer Störung in den nächsten fünf Jahren mal Auswirkung auf den Prozess. Dazu die verfügbare Redundanz.</w:t>
      </w:r>
    </w:p>
    <w:p>
      <w:pPr>
        <w:pStyle w:val="ListParagraph"/>
        <w:numPr>
          <w:ilvl w:val="0"/>
          <w:numId w:val="3"/>
        </w:numPr>
        <w:spacing w:after="70" w:line="290"/>
        <w:jc w:val="left"/>
      </w:pPr>
      <w:r>
        <w:rPr>
          <w:rFonts w:ascii="Aptos" w:cs="Aptos" w:eastAsia="Aptos" w:hAnsi="Aptos"/>
          <w:b/>
          <w:bCs/>
          <w:color w:val="1A1A1A"/>
          <w:sz w:val="21"/>
          <w:szCs w:val="21"/>
        </w:rPr>
        <w:t xml:space="preserve">Ins System einordnen.</w:t>
      </w:r>
      <w:r>
        <w:rPr>
          <w:rFonts w:ascii="Aptos" w:cs="Aptos" w:eastAsia="Aptos" w:hAnsi="Aptos"/>
          <w:color w:val="1A1A1A"/>
          <w:sz w:val="21"/>
          <w:szCs w:val="21"/>
        </w:rPr>
        <w:t xml:space="preserve"> Kontext nach 4.1, Umweltaspekte nach 6.1.2, Risiken und Chancen nach 6.1.4, Notfallvorsorge nach 8.2.</w:t>
      </w:r>
    </w:p>
    <w:p>
      <w:pPr>
        <w:pStyle w:val="ListParagraph"/>
        <w:numPr>
          <w:ilvl w:val="0"/>
          <w:numId w:val="3"/>
        </w:numPr>
        <w:spacing w:after="70" w:line="290"/>
        <w:jc w:val="left"/>
      </w:pPr>
      <w:r>
        <w:rPr>
          <w:rFonts w:ascii="Aptos" w:cs="Aptos" w:eastAsia="Aptos" w:hAnsi="Aptos"/>
          <w:b/>
          <w:bCs/>
          <w:color w:val="1A1A1A"/>
          <w:sz w:val="21"/>
          <w:szCs w:val="21"/>
        </w:rPr>
        <w:t xml:space="preserve">Anpassungsplan aufbauen.</w:t>
      </w:r>
      <w:r>
        <w:rPr>
          <w:rFonts w:ascii="Aptos" w:cs="Aptos" w:eastAsia="Aptos" w:hAnsi="Aptos"/>
          <w:color w:val="1A1A1A"/>
          <w:sz w:val="21"/>
          <w:szCs w:val="21"/>
        </w:rPr>
        <w:t xml:space="preserve"> Für jedes Haus mit bedeutender Exposition: Maßnahmen gegen physisches Risiko, Ausrichtung auf den Transitionspfad, Umgang mit Haftungsrisiko. Horizont fünf Jahre, jährliche Überprüfung.</w:t>
      </w:r>
    </w:p>
    <w:p>
      <w:pPr>
        <w:pStyle w:val="ListParagraph"/>
        <w:numPr>
          <w:ilvl w:val="0"/>
          <w:numId w:val="3"/>
        </w:numPr>
        <w:spacing w:after="70" w:line="290"/>
        <w:jc w:val="left"/>
      </w:pPr>
      <w:r>
        <w:rPr>
          <w:rFonts w:ascii="Aptos" w:cs="Aptos" w:eastAsia="Aptos" w:hAnsi="Aptos"/>
          <w:b/>
          <w:bCs/>
          <w:color w:val="1A1A1A"/>
          <w:sz w:val="21"/>
          <w:szCs w:val="21"/>
        </w:rPr>
        <w:t xml:space="preserve">Aktuell halten.</w:t>
      </w:r>
      <w:r>
        <w:rPr>
          <w:rFonts w:ascii="Aptos" w:cs="Aptos" w:eastAsia="Aptos" w:hAnsi="Aptos"/>
          <w:color w:val="1A1A1A"/>
          <w:sz w:val="21"/>
          <w:szCs w:val="21"/>
        </w:rPr>
        <w:t xml:space="preserve"> Indikator laut Buch: Anteil der Häuser mit Klimabewertung, die in den letzten achtzehn Monaten aktualisiert wurde.</w:t>
      </w:r>
    </w:p>
    <w:p>
      <w:pPr>
        <w:spacing w:after="140" w:before="0" w:line="300"/>
        <w:jc w:val="both"/>
      </w:pPr>
      <w:r>
        <w:rPr>
          <w:rFonts w:ascii="Aptos" w:cs="Aptos" w:eastAsia="Aptos" w:hAnsi="Aptos"/>
          <w:color w:val="1A1A1A"/>
          <w:sz w:val="21"/>
          <w:szCs w:val="21"/>
        </w:rPr>
        <w:t xml:space="preserve">Methodische Bezüge nennt das Buch zwei: ISO 14091:2021 für die Bewertung von Vulnerabilität, Auswirkungen und Risiken, ISO 14090:2019 für Anpassungspläne. Die ISO 14001 schreibt keine bestimmte Klimaszenario- oder Vulnerabilitätsmethodik vor.</w:t>
      </w:r>
    </w:p>
    <w:p>
      <w:pPr>
        <w:keepNext/>
        <w:spacing w:after="90" w:before="200"/>
      </w:pPr>
      <w:r>
        <w:rPr>
          <w:rFonts w:ascii="Aptos" w:cs="Aptos" w:eastAsia="Aptos" w:hAnsi="Aptos"/>
          <w:b/>
          <w:bCs/>
          <w:color w:val="002060"/>
          <w:sz w:val="22"/>
          <w:szCs w:val="22"/>
        </w:rPr>
        <w:t xml:space="preserve">B.3 Bewertungsblatt</w:t>
      </w:r>
    </w:p>
    <w:p>
      <w:pPr>
        <w:spacing w:after="140" w:before="0" w:line="300"/>
        <w:jc w:val="both"/>
      </w:pPr>
      <w:r>
        <w:rPr>
          <w:rFonts w:ascii="Aptos" w:cs="Aptos" w:eastAsia="Aptos" w:hAnsi="Aptos"/>
          <w:color w:val="1A1A1A"/>
          <w:sz w:val="21"/>
          <w:szCs w:val="21"/>
        </w:rPr>
        <w:t xml:space="preserve">Skala für Wahrscheinlichkeit und Auswirkung legt das Haus fest, zum Beispiel 1 bis 3. Einstufung als Produkt, Redundanz als Korrektur.</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217"/>
        <w:gridCol w:w="1542"/>
        <w:gridCol w:w="964"/>
        <w:gridCol w:w="1253"/>
        <w:gridCol w:w="1060"/>
        <w:gridCol w:w="1060"/>
        <w:gridCol w:w="1542"/>
      </w:tblGrid>
      <w:tr>
        <w:trPr>
          <w:tblHeader/>
        </w:trPr>
        <w:tc>
          <w:tcPr>
            <w:tcW w:type="dxa" w:w="2217"/>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Risiko</w:t>
            </w:r>
          </w:p>
        </w:tc>
        <w:tc>
          <w:tcPr>
            <w:tcW w:type="dxa" w:w="1542"/>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Dimension</w:t>
            </w:r>
          </w:p>
        </w:tc>
        <w:tc>
          <w:tcPr>
            <w:tcW w:type="dxa" w:w="964"/>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Horizont</w:t>
            </w:r>
          </w:p>
        </w:tc>
        <w:tc>
          <w:tcPr>
            <w:tcW w:type="dxa" w:w="1253"/>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Wahrscheinlichkeit</w:t>
            </w:r>
          </w:p>
        </w:tc>
        <w:tc>
          <w:tcPr>
            <w:tcW w:type="dxa" w:w="1060"/>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Auswirkung</w:t>
            </w:r>
          </w:p>
        </w:tc>
        <w:tc>
          <w:tcPr>
            <w:tcW w:type="dxa" w:w="1060"/>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Redundanz</w:t>
            </w:r>
          </w:p>
        </w:tc>
        <w:tc>
          <w:tcPr>
            <w:tcW w:type="dxa" w:w="1542"/>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Maßnahme, Verantwortlich</w:t>
            </w:r>
          </w:p>
        </w:tc>
      </w:tr>
      <w:tr>
        <w:trPr>
          <w:cantSplit/>
        </w:trPr>
        <w:tc>
          <w:tcPr>
            <w:tcW w:type="dxa" w:w="221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Hitzewelle</w:t>
            </w:r>
          </w:p>
        </w:tc>
        <w:tc>
          <w:tcPr>
            <w:tcW w:type="dxa" w:w="154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physisch, akut</w:t>
            </w:r>
          </w:p>
        </w:tc>
        <w:tc>
          <w:tcPr>
            <w:tcW w:type="dxa" w:w="96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25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06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06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54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r>
        <w:trPr>
          <w:cantSplit/>
        </w:trPr>
        <w:tc>
          <w:tcPr>
            <w:tcW w:type="dxa" w:w="221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Anstieg der Sommertemperatur</w:t>
            </w:r>
          </w:p>
        </w:tc>
        <w:tc>
          <w:tcPr>
            <w:tcW w:type="dxa" w:w="154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physisch, chronisch</w:t>
            </w:r>
          </w:p>
        </w:tc>
        <w:tc>
          <w:tcPr>
            <w:tcW w:type="dxa" w:w="96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25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06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06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54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r>
        <w:trPr>
          <w:cantSplit/>
        </w:trPr>
        <w:tc>
          <w:tcPr>
            <w:tcW w:type="dxa" w:w="221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Trockenheit, Wasserbeschränkung</w:t>
            </w:r>
          </w:p>
        </w:tc>
        <w:tc>
          <w:tcPr>
            <w:tcW w:type="dxa" w:w="154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physisch, akut/chronisch</w:t>
            </w:r>
          </w:p>
        </w:tc>
        <w:tc>
          <w:tcPr>
            <w:tcW w:type="dxa" w:w="96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25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06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06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54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r>
        <w:trPr>
          <w:cantSplit/>
        </w:trPr>
        <w:tc>
          <w:tcPr>
            <w:tcW w:type="dxa" w:w="221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Starkniederschlag, Überschwemmung</w:t>
            </w:r>
          </w:p>
        </w:tc>
        <w:tc>
          <w:tcPr>
            <w:tcW w:type="dxa" w:w="154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physisch, akut</w:t>
            </w:r>
          </w:p>
        </w:tc>
        <w:tc>
          <w:tcPr>
            <w:tcW w:type="dxa" w:w="96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25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06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06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54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r>
        <w:trPr>
          <w:cantSplit/>
        </w:trPr>
        <w:tc>
          <w:tcPr>
            <w:tcW w:type="dxa" w:w="221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Sturm, Sturmflut, Küstenabtrag</w:t>
            </w:r>
          </w:p>
        </w:tc>
        <w:tc>
          <w:tcPr>
            <w:tcW w:type="dxa" w:w="154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physisch, akut</w:t>
            </w:r>
          </w:p>
        </w:tc>
        <w:tc>
          <w:tcPr>
            <w:tcW w:type="dxa" w:w="96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25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06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06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54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r>
        <w:trPr>
          <w:cantSplit/>
        </w:trPr>
        <w:tc>
          <w:tcPr>
            <w:tcW w:type="dxa" w:w="221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Schneemangel, Lawine, Zugang</w:t>
            </w:r>
          </w:p>
        </w:tc>
        <w:tc>
          <w:tcPr>
            <w:tcW w:type="dxa" w:w="154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physisch, akut/chronisch</w:t>
            </w:r>
          </w:p>
        </w:tc>
        <w:tc>
          <w:tcPr>
            <w:tcW w:type="dxa" w:w="96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25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06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06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54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r>
        <w:trPr>
          <w:cantSplit/>
        </w:trPr>
        <w:tc>
          <w:tcPr>
            <w:tcW w:type="dxa" w:w="221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Emissionskosten, Gebäudevorgaben</w:t>
            </w:r>
          </w:p>
        </w:tc>
        <w:tc>
          <w:tcPr>
            <w:tcW w:type="dxa" w:w="154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Transition</w:t>
            </w:r>
          </w:p>
        </w:tc>
        <w:tc>
          <w:tcPr>
            <w:tcW w:type="dxa" w:w="96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25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06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06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54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r>
        <w:trPr>
          <w:cantSplit/>
        </w:trPr>
        <w:tc>
          <w:tcPr>
            <w:tcW w:type="dxa" w:w="221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Umweltaussagen ohne Substanz</w:t>
            </w:r>
          </w:p>
        </w:tc>
        <w:tc>
          <w:tcPr>
            <w:tcW w:type="dxa" w:w="154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Haftung</w:t>
            </w:r>
          </w:p>
        </w:tc>
        <w:tc>
          <w:tcPr>
            <w:tcW w:type="dxa" w:w="96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25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06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06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54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r>
        <w:trPr>
          <w:cantSplit/>
        </w:trPr>
        <w:tc>
          <w:tcPr>
            <w:tcW w:type="dxa" w:w="221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 </w:t>
            </w:r>
          </w:p>
        </w:tc>
        <w:tc>
          <w:tcPr>
            <w:tcW w:type="dxa" w:w="154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96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25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06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06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54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bl>
    <w:p>
      <w:pPr>
        <w:spacing w:after="140"/>
      </w:pPr>
    </w:p>
    <w:p>
      <w:pPr>
        <w:keepNext/>
        <w:spacing w:after="90" w:before="200"/>
      </w:pPr>
      <w:r>
        <w:rPr>
          <w:rFonts w:ascii="Aptos" w:cs="Aptos" w:eastAsia="Aptos" w:hAnsi="Aptos"/>
          <w:b/>
          <w:bCs/>
          <w:color w:val="002060"/>
          <w:sz w:val="22"/>
          <w:szCs w:val="22"/>
        </w:rPr>
        <w:t xml:space="preserve">B.4 Besonderheit Wasser: Effizienz ist nicht Resilienz</w:t>
      </w:r>
    </w:p>
    <w:p>
      <w:pPr>
        <w:spacing w:after="140" w:before="0" w:line="300"/>
        <w:jc w:val="both"/>
      </w:pPr>
      <w:r>
        <w:rPr>
          <w:rFonts w:ascii="Aptos" w:cs="Aptos" w:eastAsia="Aptos" w:hAnsi="Aptos"/>
          <w:color w:val="1A1A1A"/>
          <w:sz w:val="21"/>
          <w:szCs w:val="21"/>
        </w:rPr>
        <w:t xml:space="preserve">Wassereffizienz heißt weniger Wasser für dieselbe Leistung. Wasserresilienz heißt Betrieb auch unter Knappheit. Dafür braucht es Kontingenzpläne, Speicher, Ersatzversorgung und flexible Verfahren. Ohne getrennte Zähler je Bereich bleibt unsichtbar, wo das Wasser bleibt.</w:t>
      </w:r>
    </w:p>
    <w:p>
      <w:pPr>
        <w:spacing w:after="140" w:before="0" w:line="300"/>
        <w:jc w:val="both"/>
      </w:pPr>
      <w:r>
        <w:rPr>
          <w:rFonts w:ascii="Aptos" w:cs="Aptos" w:eastAsia="Aptos" w:hAnsi="Aptos"/>
          <w:color w:val="1A1A1A"/>
          <w:sz w:val="21"/>
          <w:szCs w:val="21"/>
        </w:rPr>
        <w:t xml:space="preserve">Das Buch zeigt für ein Haus in Salzburg einen Trockenjahrplan in drei Stufen. Tragen Sie die Auslöser Ihres Standorts ein.</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735"/>
        <w:gridCol w:w="2699"/>
        <w:gridCol w:w="3084"/>
        <w:gridCol w:w="2120"/>
      </w:tblGrid>
      <w:tr>
        <w:trPr>
          <w:tblHeader/>
        </w:trPr>
        <w:tc>
          <w:tcPr>
            <w:tcW w:type="dxa" w:w="1735"/>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8"/>
                <w:szCs w:val="18"/>
              </w:rPr>
              <w:t xml:space="preserve">Stufe</w:t>
            </w:r>
          </w:p>
        </w:tc>
        <w:tc>
          <w:tcPr>
            <w:tcW w:type="dxa" w:w="2699"/>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8"/>
                <w:szCs w:val="18"/>
              </w:rPr>
              <w:t xml:space="preserve">Auslöser im Buchbeispiel</w:t>
            </w:r>
          </w:p>
        </w:tc>
        <w:tc>
          <w:tcPr>
            <w:tcW w:type="dxa" w:w="3084"/>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8"/>
                <w:szCs w:val="18"/>
              </w:rPr>
              <w:t xml:space="preserve">Maßnahmen im Buchbeispiel</w:t>
            </w:r>
          </w:p>
        </w:tc>
        <w:tc>
          <w:tcPr>
            <w:tcW w:type="dxa" w:w="2120"/>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8"/>
                <w:szCs w:val="18"/>
              </w:rPr>
              <w:t xml:space="preserve">Auslöser im eigenen Haus</w:t>
            </w:r>
          </w:p>
        </w:tc>
      </w:tr>
      <w:tr>
        <w:trPr>
          <w:cantSplit/>
        </w:trPr>
        <w:tc>
          <w:tcPr>
            <w:tcW w:type="dxa" w:w="173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1 · Beobachten</w:t>
            </w:r>
          </w:p>
        </w:tc>
        <w:tc>
          <w:tcPr>
            <w:tcW w:type="dxa" w:w="269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anhaltende Trockenheit laut Monitoring von GeoSphere Austria und Hydrographischem Dienst</w:t>
            </w:r>
          </w:p>
        </w:tc>
        <w:tc>
          <w:tcPr>
            <w:tcW w:type="dxa" w:w="308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kein Eingriff, Informationsphase</w:t>
            </w:r>
          </w:p>
        </w:tc>
        <w:tc>
          <w:tcPr>
            <w:tcW w:type="dxa" w:w="212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r>
        <w:trPr>
          <w:cantSplit/>
        </w:trPr>
        <w:tc>
          <w:tcPr>
            <w:tcW w:type="dxa" w:w="173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2 · Freiwillig reduzieren</w:t>
            </w:r>
          </w:p>
        </w:tc>
        <w:tc>
          <w:tcPr>
            <w:tcW w:type="dxa" w:w="269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kommunale Empfehlung zum Wassersparen</w:t>
            </w:r>
          </w:p>
        </w:tc>
        <w:tc>
          <w:tcPr>
            <w:tcW w:type="dxa" w:w="308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Gartenbewässerung reduzieren, Verdunstung am Pool mindern, Gäste informieren</w:t>
            </w:r>
          </w:p>
        </w:tc>
        <w:tc>
          <w:tcPr>
            <w:tcW w:type="dxa" w:w="212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r>
        <w:trPr>
          <w:cantSplit/>
        </w:trPr>
        <w:tc>
          <w:tcPr>
            <w:tcW w:type="dxa" w:w="173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3 · Pflichtreduktion</w:t>
            </w:r>
          </w:p>
        </w:tc>
        <w:tc>
          <w:tcPr>
            <w:tcW w:type="dxa" w:w="269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behördliche oder kommunale Nutzungsbeschränkung</w:t>
            </w:r>
          </w:p>
        </w:tc>
        <w:tc>
          <w:tcPr>
            <w:tcW w:type="dxa" w:w="308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Bewässerung einstellen, Außenpool schließen, Spa auf Hallenbereiche konzentrieren</w:t>
            </w:r>
          </w:p>
        </w:tc>
        <w:tc>
          <w:tcPr>
            <w:tcW w:type="dxa" w:w="212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bl>
    <w:p>
      <w:pPr>
        <w:spacing w:after="140"/>
      </w:pPr>
    </w:p>
    <w:p>
      <w:pPr>
        <w:keepNext/>
        <w:spacing w:after="90" w:before="200"/>
      </w:pPr>
      <w:r>
        <w:rPr>
          <w:rFonts w:ascii="Aptos" w:cs="Aptos" w:eastAsia="Aptos" w:hAnsi="Aptos"/>
          <w:b/>
          <w:bCs/>
          <w:color w:val="002060"/>
          <w:sz w:val="22"/>
          <w:szCs w:val="22"/>
        </w:rPr>
        <w:t xml:space="preserve">B.5 Anwendungsbeispiele aus dem Buch</w:t>
      </w:r>
    </w:p>
    <w:p>
      <w:pPr>
        <w:spacing w:after="140" w:before="0" w:line="300"/>
        <w:jc w:val="both"/>
      </w:pPr>
      <w:r>
        <w:rPr>
          <w:rFonts w:ascii="Aptos" w:cs="Aptos" w:eastAsia="Aptos" w:hAnsi="Aptos"/>
          <w:color w:val="1A1A1A"/>
          <w:sz w:val="21"/>
          <w:szCs w:val="21"/>
        </w:rPr>
        <w:t xml:space="preserve">Die Risikokarte des Investitionsfonds aus Abschnitt 1.4 ist ein Kompositfall. Vier von neun Häusern zeigen bedeutende Exposition.</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120"/>
        <w:gridCol w:w="2506"/>
        <w:gridCol w:w="2120"/>
        <w:gridCol w:w="2892"/>
      </w:tblGrid>
      <w:tr>
        <w:trPr>
          <w:tblHeader/>
        </w:trPr>
        <w:tc>
          <w:tcPr>
            <w:tcW w:type="dxa" w:w="2120"/>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7"/>
                <w:szCs w:val="17"/>
              </w:rPr>
              <w:t xml:space="preserve">Haus (Kompositfall)</w:t>
            </w:r>
          </w:p>
        </w:tc>
        <w:tc>
          <w:tcPr>
            <w:tcW w:type="dxa" w:w="2506"/>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7"/>
                <w:szCs w:val="17"/>
              </w:rPr>
              <w:t xml:space="preserve">Physisches Risiko</w:t>
            </w:r>
          </w:p>
        </w:tc>
        <w:tc>
          <w:tcPr>
            <w:tcW w:type="dxa" w:w="2120"/>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7"/>
                <w:szCs w:val="17"/>
              </w:rPr>
              <w:t xml:space="preserve">Transitionsrisiko</w:t>
            </w:r>
          </w:p>
        </w:tc>
        <w:tc>
          <w:tcPr>
            <w:tcW w:type="dxa" w:w="2892"/>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7"/>
                <w:szCs w:val="17"/>
              </w:rPr>
              <w:t xml:space="preserve">Anpassung laut Buch</w:t>
            </w:r>
          </w:p>
        </w:tc>
      </w:tr>
      <w:tr>
        <w:trPr>
          <w:cantSplit/>
        </w:trPr>
        <w:tc>
          <w:tcPr>
            <w:tcW w:type="dxa" w:w="212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Boutique-Hotel an der Ostseeküste</w:t>
            </w:r>
          </w:p>
        </w:tc>
        <w:tc>
          <w:tcPr>
            <w:tcW w:type="dxa" w:w="250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hoch: Trockenstress und Hitzewellen (chronisch)</w:t>
            </w:r>
          </w:p>
        </w:tc>
        <w:tc>
          <w:tcPr>
            <w:tcW w:type="dxa" w:w="212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mittel: Küstenabtrag (akut)</w:t>
            </w:r>
          </w:p>
        </w:tc>
        <w:tc>
          <w:tcPr>
            <w:tcW w:type="dxa" w:w="289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Küstenmonitoring mit den Küstenschutzbehörden; Regenwasser- und Grauwassernutzung; Hitzemanagement für Außenanlagen und Gäste</w:t>
            </w:r>
          </w:p>
        </w:tc>
      </w:tr>
      <w:tr>
        <w:trPr>
          <w:cantSplit/>
        </w:trPr>
        <w:tc>
          <w:tcPr>
            <w:tcW w:type="dxa" w:w="212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Ferienresort im Schwarzwald</w:t>
            </w:r>
          </w:p>
        </w:tc>
        <w:tc>
          <w:tcPr>
            <w:tcW w:type="dxa" w:w="250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mittel: Waldbrandgefährdung, Trockenstress, Starkniederschlag</w:t>
            </w:r>
          </w:p>
        </w:tc>
        <w:tc>
          <w:tcPr>
            <w:tcW w:type="dxa" w:w="212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im Buch nicht gesondert bewertet</w:t>
            </w:r>
          </w:p>
        </w:tc>
        <w:tc>
          <w:tcPr>
            <w:tcW w:type="dxa" w:w="289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Waldbrandfrüherkennung mit der Forstbehörde; passive Klimatisierung; Saison diversifizieren</w:t>
            </w:r>
          </w:p>
        </w:tc>
      </w:tr>
      <w:tr>
        <w:trPr>
          <w:cantSplit/>
        </w:trPr>
        <w:tc>
          <w:tcPr>
            <w:tcW w:type="dxa" w:w="212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Thermalhotel in Bayern</w:t>
            </w:r>
          </w:p>
        </w:tc>
        <w:tc>
          <w:tcPr>
            <w:tcW w:type="dxa" w:w="250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hoch: thermale und hydrologische Ressourcen (chronisch)</w:t>
            </w:r>
          </w:p>
        </w:tc>
        <w:tc>
          <w:tcPr>
            <w:tcW w:type="dxa" w:w="212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hoch: energetischer Zustand des historischen Gebäudes</w:t>
            </w:r>
          </w:p>
        </w:tc>
        <w:tc>
          <w:tcPr>
            <w:tcW w:type="dxa" w:w="289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eigene Logik nach Vulnerabilität (im Buch nicht ausgeführt)</w:t>
            </w:r>
          </w:p>
        </w:tc>
      </w:tr>
      <w:tr>
        <w:trPr>
          <w:cantSplit/>
        </w:trPr>
        <w:tc>
          <w:tcPr>
            <w:tcW w:type="dxa" w:w="212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Stadthotel in München</w:t>
            </w:r>
          </w:p>
        </w:tc>
        <w:tc>
          <w:tcPr>
            <w:tcW w:type="dxa" w:w="250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mittel: urbane Wärmeinsel (chronisch)</w:t>
            </w:r>
          </w:p>
        </w:tc>
        <w:tc>
          <w:tcPr>
            <w:tcW w:type="dxa" w:w="212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hoch: Energieausweis, künftige EPBD-Mindestvorgaben</w:t>
            </w:r>
          </w:p>
        </w:tc>
        <w:tc>
          <w:tcPr>
            <w:tcW w:type="dxa" w:w="289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eigene Logik nach Vulnerabilität (im Buch nicht ausgeführt)</w:t>
            </w:r>
          </w:p>
        </w:tc>
      </w:tr>
    </w:tbl>
    <w:p>
      <w:pPr>
        <w:spacing w:after="140"/>
      </w:pPr>
    </w:p>
    <w:p>
      <w:pPr>
        <w:keepNext/>
        <w:spacing w:after="120" w:before="280"/>
      </w:pPr>
      <w:r>
        <w:rPr>
          <w:rFonts w:ascii="Aptos" w:cs="Aptos" w:eastAsia="Aptos" w:hAnsi="Aptos"/>
          <w:b/>
          <w:bCs/>
          <w:color w:val="8C5A2B"/>
          <w:sz w:val="26"/>
          <w:szCs w:val="26"/>
        </w:rPr>
        <w:t xml:space="preserve">C. Arbeitsblatt «Klimasignale meines Standorts»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855"/>
        <w:gridCol w:w="5783"/>
      </w:tblGrid>
      <w:tr>
        <w:trPr>
          <w:tblHeader/>
        </w:trPr>
        <w:tc>
          <w:tcPr>
            <w:tcW w:type="dxa" w:w="3855"/>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8"/>
                <w:szCs w:val="18"/>
              </w:rPr>
              <w:t xml:space="preserve">Angabe</w:t>
            </w:r>
          </w:p>
        </w:tc>
        <w:tc>
          <w:tcPr>
            <w:tcW w:type="dxa" w:w="5783"/>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8"/>
                <w:szCs w:val="18"/>
              </w:rPr>
              <w:t xml:space="preserve">Eintrag</w:t>
            </w:r>
          </w:p>
        </w:tc>
      </w:tr>
      <w:tr>
        <w:trPr>
          <w:cantSplit/>
        </w:trPr>
        <w:tc>
          <w:tcPr>
            <w:tcW w:type="dxa" w:w="385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Haus, Standort, Höhenlage</w:t>
            </w:r>
          </w:p>
        </w:tc>
        <w:tc>
          <w:tcPr>
            <w:tcW w:type="dxa" w:w="578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r>
        <w:trPr>
          <w:cantSplit/>
        </w:trPr>
        <w:tc>
          <w:tcPr>
            <w:tcW w:type="dxa" w:w="385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Makroregion und Destinationskategorie</w:t>
            </w:r>
          </w:p>
        </w:tc>
        <w:tc>
          <w:tcPr>
            <w:tcW w:type="dxa" w:w="578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r>
        <w:trPr>
          <w:cantSplit/>
        </w:trPr>
        <w:tc>
          <w:tcPr>
            <w:tcW w:type="dxa" w:w="385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Amtliche Quelle (Name, Produkt)</w:t>
            </w:r>
          </w:p>
        </w:tc>
        <w:tc>
          <w:tcPr>
            <w:tcW w:type="dxa" w:w="578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r>
        <w:trPr>
          <w:cantSplit/>
        </w:trPr>
        <w:tc>
          <w:tcPr>
            <w:tcW w:type="dxa" w:w="385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Szenario bzw. Erwärmungsgrad</w:t>
            </w:r>
          </w:p>
        </w:tc>
        <w:tc>
          <w:tcPr>
            <w:tcW w:type="dxa" w:w="578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r>
        <w:trPr>
          <w:cantSplit/>
        </w:trPr>
        <w:tc>
          <w:tcPr>
            <w:tcW w:type="dxa" w:w="385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Referenzperiode</w:t>
            </w:r>
          </w:p>
        </w:tc>
        <w:tc>
          <w:tcPr>
            <w:tcW w:type="dxa" w:w="578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r>
        <w:trPr>
          <w:cantSplit/>
        </w:trPr>
        <w:tc>
          <w:tcPr>
            <w:tcW w:type="dxa" w:w="385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Abrufdatum, bearbeitet von</w:t>
            </w:r>
          </w:p>
        </w:tc>
        <w:tc>
          <w:tcPr>
            <w:tcW w:type="dxa" w:w="578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bl>
    <w:p>
      <w:pPr>
        <w:spacing w:after="14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313"/>
        <w:gridCol w:w="1542"/>
        <w:gridCol w:w="1157"/>
        <w:gridCol w:w="1638"/>
        <w:gridCol w:w="1349"/>
        <w:gridCol w:w="1639"/>
      </w:tblGrid>
      <w:tr>
        <w:trPr>
          <w:tblHeader/>
        </w:trPr>
        <w:tc>
          <w:tcPr>
            <w:tcW w:type="dxa" w:w="2313"/>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Variable</w:t>
            </w:r>
          </w:p>
        </w:tc>
        <w:tc>
          <w:tcPr>
            <w:tcW w:type="dxa" w:w="1542"/>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Signal 2030 (Wert, Szenario)</w:t>
            </w:r>
          </w:p>
        </w:tc>
        <w:tc>
          <w:tcPr>
            <w:tcW w:type="dxa" w:w="1157"/>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Signal 2050</w:t>
            </w:r>
          </w:p>
        </w:tc>
        <w:tc>
          <w:tcPr>
            <w:tcW w:type="dxa" w:w="1638"/>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Betroffene Prozesse</w:t>
            </w:r>
          </w:p>
        </w:tc>
        <w:tc>
          <w:tcPr>
            <w:tcW w:type="dxa" w:w="1349"/>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Normbezug (4.1, 6.1.2, 6.1.4, 8.2)</w:t>
            </w:r>
          </w:p>
        </w:tc>
        <w:tc>
          <w:tcPr>
            <w:tcW w:type="dxa" w:w="1639"/>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Maßnahme, Verantwortlich</w:t>
            </w:r>
          </w:p>
        </w:tc>
      </w:tr>
      <w:tr>
        <w:trPr>
          <w:cantSplit/>
        </w:trPr>
        <w:tc>
          <w:tcPr>
            <w:tcW w:type="dxa" w:w="231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Mittlere Sommertemperatur</w:t>
            </w:r>
          </w:p>
        </w:tc>
        <w:tc>
          <w:tcPr>
            <w:tcW w:type="dxa" w:w="154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15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63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34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63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r>
        <w:trPr>
          <w:cantSplit/>
        </w:trPr>
        <w:tc>
          <w:tcPr>
            <w:tcW w:type="dxa" w:w="231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Hitzewellen, Hitzephasen</w:t>
            </w:r>
          </w:p>
        </w:tc>
        <w:tc>
          <w:tcPr>
            <w:tcW w:type="dxa" w:w="154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15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63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34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63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r>
        <w:trPr>
          <w:cantSplit/>
        </w:trPr>
        <w:tc>
          <w:tcPr>
            <w:tcW w:type="dxa" w:w="231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Niederschlagsregime</w:t>
            </w:r>
          </w:p>
        </w:tc>
        <w:tc>
          <w:tcPr>
            <w:tcW w:type="dxa" w:w="154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15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63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34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63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r>
        <w:trPr>
          <w:cantSplit/>
        </w:trPr>
        <w:tc>
          <w:tcPr>
            <w:tcW w:type="dxa" w:w="231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Trockenstress, Niedrigwasser</w:t>
            </w:r>
          </w:p>
        </w:tc>
        <w:tc>
          <w:tcPr>
            <w:tcW w:type="dxa" w:w="154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15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63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34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63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r>
        <w:trPr>
          <w:cantSplit/>
        </w:trPr>
        <w:tc>
          <w:tcPr>
            <w:tcW w:type="dxa" w:w="231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Extremereignisse (Starkregen, Sturm, Sturmflut)</w:t>
            </w:r>
          </w:p>
        </w:tc>
        <w:tc>
          <w:tcPr>
            <w:tcW w:type="dxa" w:w="154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15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63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34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63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r>
        <w:trPr>
          <w:cantSplit/>
        </w:trPr>
        <w:tc>
          <w:tcPr>
            <w:tcW w:type="dxa" w:w="231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Wasserverfügbarkeit, Quellschüttung</w:t>
            </w:r>
          </w:p>
        </w:tc>
        <w:tc>
          <w:tcPr>
            <w:tcW w:type="dxa" w:w="154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15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63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34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63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r>
        <w:trPr>
          <w:cantSplit/>
        </w:trPr>
        <w:tc>
          <w:tcPr>
            <w:tcW w:type="dxa" w:w="231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Nur alpin: Schnee, Nullgradgrenze</w:t>
            </w:r>
          </w:p>
        </w:tc>
        <w:tc>
          <w:tcPr>
            <w:tcW w:type="dxa" w:w="154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15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63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34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63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r>
        <w:trPr>
          <w:cantSplit/>
        </w:trPr>
        <w:tc>
          <w:tcPr>
            <w:tcW w:type="dxa" w:w="231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Nur alpin: Lawinen, Permafrost</w:t>
            </w:r>
          </w:p>
        </w:tc>
        <w:tc>
          <w:tcPr>
            <w:tcW w:type="dxa" w:w="154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15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63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34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63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bl>
    <w:p>
      <w:pPr>
        <w:spacing w:after="14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855"/>
        <w:gridCol w:w="5783"/>
      </w:tblGrid>
      <w:tr>
        <w:trPr>
          <w:tblHeader/>
        </w:trPr>
        <w:tc>
          <w:tcPr>
            <w:tcW w:type="dxa" w:w="3855"/>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8"/>
                <w:szCs w:val="18"/>
              </w:rPr>
              <w:t xml:space="preserve">Abschluss</w:t>
            </w:r>
          </w:p>
        </w:tc>
        <w:tc>
          <w:tcPr>
            <w:tcW w:type="dxa" w:w="5783"/>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8"/>
                <w:szCs w:val="18"/>
              </w:rPr>
              <w:t xml:space="preserve">Eintrag</w:t>
            </w:r>
          </w:p>
        </w:tc>
      </w:tr>
      <w:tr>
        <w:trPr>
          <w:cantSplit/>
        </w:trPr>
        <w:tc>
          <w:tcPr>
            <w:tcW w:type="dxa" w:w="385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Wichtigste drei Signale für das Haus</w:t>
            </w:r>
          </w:p>
        </w:tc>
        <w:tc>
          <w:tcPr>
            <w:tcW w:type="dxa" w:w="578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r>
        <w:trPr>
          <w:cantSplit/>
        </w:trPr>
        <w:tc>
          <w:tcPr>
            <w:tcW w:type="dxa" w:w="385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Übernahme in Kontextanalyse und Risikokarte am</w:t>
            </w:r>
          </w:p>
        </w:tc>
        <w:tc>
          <w:tcPr>
            <w:tcW w:type="dxa" w:w="578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r>
        <w:trPr>
          <w:cantSplit/>
        </w:trPr>
        <w:tc>
          <w:tcPr>
            <w:tcW w:type="dxa" w:w="385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Nächste Überprüfung (Managementbewertung)</w:t>
            </w:r>
          </w:p>
        </w:tc>
        <w:tc>
          <w:tcPr>
            <w:tcW w:type="dxa" w:w="578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r>
        <w:trPr>
          <w:cantSplit/>
        </w:trPr>
        <w:tc>
          <w:tcPr>
            <w:tcW w:type="dxa" w:w="385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Freigabe Generaldirektion</w:t>
            </w:r>
          </w:p>
        </w:tc>
        <w:tc>
          <w:tcPr>
            <w:tcW w:type="dxa" w:w="578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bl>
    <w:p>
      <w:pPr>
        <w:spacing w:after="140"/>
      </w:pPr>
    </w:p>
    <w:p>
      <w:pPr>
        <w:keepNext/>
        <w:spacing w:after="120" w:before="280"/>
      </w:pPr>
      <w:r>
        <w:rPr>
          <w:rFonts w:ascii="Aptos" w:cs="Aptos" w:eastAsia="Aptos" w:hAnsi="Aptos"/>
          <w:b/>
          <w:bCs/>
          <w:color w:val="8C5A2B"/>
          <w:sz w:val="26"/>
          <w:szCs w:val="26"/>
        </w:rPr>
        <w:t xml:space="preserve">Was dieses Material nicht ist</w:t>
      </w:r>
    </w:p>
    <w:p>
      <w:pPr>
        <w:spacing w:after="140" w:before="0" w:line="300"/>
        <w:jc w:val="both"/>
      </w:pPr>
      <w:r>
        <w:rPr>
          <w:rFonts w:ascii="Aptos" w:cs="Aptos" w:eastAsia="Aptos" w:hAnsi="Aptos"/>
          <w:color w:val="1A1A1A"/>
          <w:sz w:val="21"/>
          <w:szCs w:val="21"/>
        </w:rPr>
        <w:t xml:space="preserve">Dieses Material ersetzt nicht die ISO 14001:2026 und nicht die amtlichen Klimaszenarien. Es ist keine Rechtsberatung und keine standortspezifische Gefahrenbeurteilung. Jedes Haus passt Quellen, Skalen und Maßnahmen an seinen Standort an. Rechtsstand: 9. Oktober 2026.</w:t>
      </w:r>
    </w:p>
    <w:p>
      <w:pPr>
        <w:spacing w:after="140" w:before="0" w:line="300"/>
        <w:jc w:val="both"/>
      </w:pPr>
      <w:r>
        <w:rPr>
          <w:rFonts w:ascii="Aptos" w:cs="Aptos" w:eastAsia="Aptos" w:hAnsi="Aptos"/>
          <w:b/>
          <w:bCs/>
          <w:color w:val="1A1A1A"/>
          <w:sz w:val="21"/>
          <w:szCs w:val="21"/>
        </w:rPr>
        <w:t xml:space="preserve">Bezug im Buch: Band 1a, Abschnitt 1.4</w:t>
      </w:r>
    </w:p>
    <w:sectPr>
      <w:footerReference w:type="default" r:id="rId7"/>
      <w:pgSz w:w="11906" w:h="16838" w:orient="portrait"/>
      <w:pgMar w:top="1134" w:right="1134"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ptos" w:cs="Aptos" w:eastAsia="Aptos" w:hAnsi="Aptos"/>
        <w:color w:val="5A5A5A"/>
        <w:sz w:val="16"/>
        <w:szCs w:val="16"/>
      </w:rPr>
      <w:t xml:space="preserve">Francesco Dore · Das Steuer und die Lupe · Band 1a · Seite </w:t>
    </w:r>
    <w:r>
      <w:rPr>
        <w:rFonts w:ascii="Aptos" w:cs="Aptos" w:eastAsia="Aptos" w:hAnsi="Aptos"/>
        <w:color w:val="5A5A5A"/>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60"/>
      </w:pPr>
    </w:lvl>
  </w:abstractNum>
  <w:abstractNum w:abstractNumId="3" w15:restartNumberingAfterBreak="0">
    <w:multiLevelType w:val="hybridMultilevel"/>
    <w:lvl w:ilvl="0" w15:tentative="1">
      <w:start w:val="1"/>
      <w:numFmt w:val="decimal"/>
      <w:lvlText w:val="%1."/>
      <w:lvlJc w:val="left"/>
      <w:pPr>
        <w:ind w:left="400" w:hanging="30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ptos" w:cs="Aptos" w:eastAsia="Aptos" w:hAnsi="Aptos"/>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outlineLvl w:val="0"/>
    </w:pPr>
    <w:rPr>
      <w:rFonts w:ascii="Aptos" w:cs="Aptos" w:eastAsia="Aptos" w:hAnsi="Aptos"/>
      <w:b/>
      <w:bCs/>
      <w:color w:val="002060"/>
      <w:sz w:val="36"/>
      <w:szCs w:val="36"/>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Francesco Dore</dc:creator>
  <cp:lastModifiedBy>Un-named</cp:lastModifiedBy>
  <cp:revision>1</cp:revision>
  <dcterms:created xsi:type="dcterms:W3CDTF">2026-10-10T03:16:39.709Z</dcterms:created>
  <dcterms:modified xsi:type="dcterms:W3CDTF">2026-10-10T03:16:39.710Z</dcterms:modified>
</cp:coreProperties>
</file>

<file path=docProps/custom.xml><?xml version="1.0" encoding="utf-8"?>
<Properties xmlns="http://schemas.openxmlformats.org/officeDocument/2006/custom-properties" xmlns:vt="http://schemas.openxmlformats.org/officeDocument/2006/docPropsVTypes"/>
</file>