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ptos" w:cs="Aptos" w:eastAsia="Aptos" w:hAnsi="Aptos"/>
          <w:color w:val="5A5A5A"/>
          <w:sz w:val="18"/>
          <w:szCs w:val="18"/>
        </w:rPr>
        <w:t xml:space="preserve">Das Steuer und die Lupe · Band 1a · ISO 14001:2026</w:t>
      </w:r>
    </w:p>
    <w:p>
      <w:pPr>
        <w:spacing w:after="200"/>
      </w:pPr>
      <w:r>
        <w:rPr>
          <w:rFonts w:ascii="Aptos" w:cs="Aptos" w:eastAsia="Aptos" w:hAnsi="Aptos"/>
          <w:b/>
          <w:bCs/>
          <w:color w:val="8C5A2B"/>
          <w:sz w:val="18"/>
          <w:szCs w:val="18"/>
        </w:rPr>
        <w:t xml:space="preserve">ONLINE-MATERIAL ZU ABSCHNITT 1.5</w:t>
      </w:r>
    </w:p>
    <w:p>
      <w:pPr>
        <w:pStyle w:val="Heading1"/>
        <w:spacing w:after="120" w:line="360"/>
      </w:pPr>
      <w:r>
        <w:rPr>
          <w:rFonts w:ascii="Aptos" w:cs="Aptos" w:eastAsia="Aptos" w:hAnsi="Aptos"/>
          <w:b/>
          <w:bCs/>
          <w:color w:val="002060"/>
          <w:sz w:val="36"/>
          <w:szCs w:val="36"/>
        </w:rPr>
        <w:t xml:space="preserve">Kartierung der CSRD/ESRS-Anforderungen für das DACH-Gastgewerbe</w:t>
      </w:r>
    </w:p>
    <w:p>
      <w:pPr>
        <w:spacing w:after="200"/>
      </w:pPr>
      <w:r>
        <w:rPr>
          <w:rFonts w:ascii="Aptos" w:cs="Aptos" w:eastAsia="Aptos" w:hAnsi="Aptos"/>
          <w:i/>
          <w:iCs/>
          <w:color w:val="5A5A5A"/>
          <w:sz w:val="22"/>
          <w:szCs w:val="22"/>
        </w:rPr>
        <w:t xml:space="preserve">Wer berichtet, wer liefert Daten, und wo das ISO-14001-System die Daten schon erzeugt</w:t>
      </w:r>
    </w:p>
    <w:p>
      <w:pPr>
        <w:pBdr>
          <w:bottom w:val="single" w:color="C9BBA6" w:sz="6" w:space="4"/>
        </w:pBdr>
        <w:spacing w:after="240"/>
      </w:pPr>
      <w:r>
        <w:rPr>
          <w:rFonts w:ascii="Aptos" w:cs="Aptos" w:eastAsia="Aptos" w:hAnsi="Aptos"/>
          <w:color w:val="5A5A5A"/>
          <w:sz w:val="17"/>
          <w:szCs w:val="17"/>
        </w:rPr>
        <w:t xml:space="preserve">Stand: 9. Oktober 2026 · buecher.effedore.com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Zu diesem Material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Das Dokument kartiert die ESRS, die Band 1a nennt, und zeigt, welche Daten ein Hotel als berichtspflichtiges Unternehmen oder als Datenlieferant bereithält. Es nennt keine Datenpunkt-Nummern und keine Paragrafen der Standards, weil das Buch sie nicht anführt. Für den genauen Wortlaut gilt die jeweils geltende Fassung der ESRS und des freiwilligen Standards (VSME).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A. Rechtsstand auf einen Blick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Der Stand ist der 9. Oktober 2026. Jede Angabe ist vor der Anwendung an der geltenden Fassung zu prüfen.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CSRD.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Richtlinie (EU) 2022/2464. Kernprinzip ist die </w:t>
      </w: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doppelte Wesentlichkeit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: Auswirkungen des Unternehmens auf Umwelt und Gesellschaft (Inside-Out) und deren Auswirkungen auf das Unternehmen (Outside-In).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Omnibus-Paket.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Die Richtlinie (EU) 2026/470 (ABl. vom 26. Februar 2026) ist seit 18. März 2026 in Kraft. Die Umsetzung läuft bis 19. März 2027.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Schwellen.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Der allgemeine direkte Perimeter umfasst Unternehmen oder Gruppen mit mehr als 1.000 Beschäftigten </w:t>
      </w: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und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mehr als 450 Mio. EUR Nettoumsatz. Neu erfasste Unternehmen berichten erstmals für das Geschäftsjahr 2027.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Nicht-europäische Gruppen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fallen ab dem Geschäftsjahr 2028 darunter. Bedingung: mehr als 450 Mio. EUR Umsatz in der EU und eine Tochter oder Zweigniederlassung mit mehr als 200 Mio. EUR Umsatz. Börsennotierte KMU sind nicht mehr erfasst.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ESRS.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Erster Satz nach Delegierter Verordnung (EU) 2023/2772. Am 3. Juli 2026 hat die Kommission überarbeitete ESRS mit deutlich weniger Pflichtdatenpunkten angenommen. Sie sind ab dem Geschäftsjahr 2027 verpflichtend.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VSME.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Am selben Tag hat die Kommission einen freiwilligen Standard für nicht berichtspflichtige Unternehmen angenommen. Unternehmen bis 1.000 Beschäftigte können CSRD-bezogene Anfragen, die darüber hinausgehen, grundsätzlich ablehnen. Andere rechtliche oder vertragliche Pflichten bleiben vorbehalten.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Länder.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Deutschland: Das CSRD-Umsetzungsgesetz war im Oktober 2026 noch im Gesetzgebungsverfahren. Österreich: nationale Umsetzung prüfen. Schweiz: keine allgemeine CSRD- oder ESRS-Pflicht; Art. 964a bis 964c OR und die Verordnung SR 221.434 betreffen bestimmte Unternehmen.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Merksatz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Eine Datenanfrage eines Kunden begründet keine eigene CSRD-Pflicht des Hotels. Sie ist eine Kundenanfrage oder eine vertragliche Anforderung. Vor der Antwort sind Anwendungsbereich, Zweck, Datenverfügbarkeit und Verhältnismäßigkeit zu klären.</w:t>
            </w:r>
          </w:p>
        </w:tc>
      </w:tr>
    </w:tbl>
    <w:p>
      <w:pPr>
        <w:spacing w:after="12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EU-Taxonomie (Verordnung (EU) 2020/852, seit 1. Januar 2026 vereinfacht durch die Delegierte Verordnung (EU) 2026/73) ist eine gesonderte Prüfung. Eine ISO-14001-Zertifizierung bedeutet keine automatische Taxonomiekonformität.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B. Arbeitsblatt «Bin ich berichtspflichtig oder Datenlieferant?»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Beantworten Sie die Fragen für die rechtliche Einheit, der das Hotel gehört, und für die Gruppe darüber. Die Spalte «Folge» sagt, wohin die Antwort führt.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9"/>
        <w:gridCol w:w="3672"/>
        <w:gridCol w:w="918"/>
        <w:gridCol w:w="2019"/>
        <w:gridCol w:w="2570"/>
      </w:tblGrid>
      <w:tr>
        <w:trPr>
          <w:tblHeader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Prüffrage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Ja / Nein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Beleg, Quelle, Datum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Folge bei «Ja»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Hat das Unternehmen oder die Gruppe mehr als 1.000 Beschäftigte </w:t>
            </w: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und</w:t>
            </w: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mehr als 450 Mio. EUR Nettoumsatz?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Situation 1 prüfen: direkter Perimeter, erstmals Geschäftsjahr 2027.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Gehört das Haus zu einer nicht-europäischen Gruppe mit mehr als 450 Mio. EUR EU-Umsatz und einer EU-Einheit mit mehr als 200 Mio. EUR Umsatz?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Situation 1 prüfen: Perimeter ab Geschäftsjahr 2028.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Gehört das Haus einem Immobilienfonds mit Nachhaltigkeitsdisclosure-Pflichten?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Situation 1 prüfen: Datenlieferung an den Fonds klären.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Stammt ein bedeutender Umsatzanteil von Corporate-Kunden, die selbst im CSRD-Perimeter liegen?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Situation 2: strukturierte Datenanfragen zu erwarten.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Hat das Unternehmen höchstens 1.000 Beschäftigte?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Schutz der Wertschöpfungskette: VSME als Maßstab für CSRD-bezogene Anfragen.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Bestehen bedeutende Finanzierungen (Hypothek, Kreditlinie, Sanierung)?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Datenanfragen der Bank zu erwarten, unabhängig vom CSRD-Perimeter.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7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Bewerten Distributionsplattformen oder Reiseveranstalter das Haus nach ESG-Indikatoren?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Situation 3: Exposition wächst mittelfristig.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8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Liegt das Haus in der Schweiz?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Schweizer Recht prüfen; CSRD/ESRS nur bei Konzernbezug zur EU.</w:t>
            </w:r>
          </w:p>
        </w:tc>
      </w:tr>
      <w:tr>
        <w:trPr>
          <w:cantSplit/>
        </w:trPr>
        <w:tc>
          <w:tcPr>
            <w:tcW w:type="dxa" w:w="4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9</w:t>
            </w:r>
          </w:p>
        </w:tc>
        <w:tc>
          <w:tcPr>
            <w:tcW w:type="dxa" w:w="3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Ist das deutsche bzw. österreichische Umsetzungsrecht für das Berichtsjahr geprüft?</w:t>
            </w:r>
          </w:p>
        </w:tc>
        <w:tc>
          <w:tcPr>
            <w:tcW w:type="dxa" w:w="91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0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5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Ohne Prüfung keine Aussage zur eigenen Pflicht.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Auswertung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964"/>
        <w:gridCol w:w="5397"/>
      </w:tblGrid>
      <w:tr>
        <w:trPr>
          <w:tblHeader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Ergebnis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Ankreuzen</w:t>
            </w:r>
          </w:p>
        </w:tc>
        <w:tc>
          <w:tcPr>
            <w:tcW w:type="dxa" w:w="539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Was daraus folgt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Situation 1: Hotel einer Gruppe im direkten Perimeter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539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Das System liefert Daten für die ESRS-Disclosure der Gruppe, prüffähig für eine Prüfung mit begrenzter Sicherheit (limited assurance).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Situation 2: nicht im Perimeter, aber Lieferant von Kunden im Perimeter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539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Keine eigene ESRS-Pflicht. Strukturierte Antwortfähigkeit aufbauen, VSME als Maßstab.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Situation 3: nicht im Perimeter, geringe Wertschöpfungsketten-Exposition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539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Kurzfristig geringe Exposition. Proportionierte Datenbasis über Banken und Plattformen vorbereiten.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C. Die ESRS, die das Buch nennt, und was sie für ein Hotel bedeuten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ESRS bestehen aus zwei übergreifenden Standards (ESRS 1 allgemeine Anforderungen, ESRS 2 allgemeine Angaben) und zehn thematischen Standards. Umwelt: E1 bis E5. Soziales: S1 bis S4. Governance: G1. Nach dem Prinzip der doppelten Wesentlichkeit sind alle potenziell anwendbar. Für das Gastgewerbe nennt das Buch E1, E3 und E5 als operativ relevanteste Umweltstandards, dazu S1 und G1.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Tabelle beschreibt typische Datenanfragen, wie sie das Buch im Fragebogen der Eröffnung von Abschnitt 1.5 schildert. Sie ersetzt nicht den Wortlaut der Standards.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3"/>
        <w:gridCol w:w="2217"/>
        <w:gridCol w:w="2988"/>
        <w:gridCol w:w="3180"/>
      </w:tblGrid>
      <w:tr>
        <w:trPr>
          <w:tblHeader/>
        </w:trPr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Thema</w:t>
            </w:r>
          </w:p>
        </w:tc>
        <w:tc>
          <w:tcPr>
            <w:tcW w:type="dxa" w:w="29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Typische Datenanfragen an ein Hotel</w:t>
            </w:r>
          </w:p>
        </w:tc>
        <w:tc>
          <w:tcPr>
            <w:tcW w:type="dxa" w:w="31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Wo das ISO-14001-System die Daten erzeugt</w:t>
            </w:r>
          </w:p>
        </w:tc>
      </w:tr>
      <w:tr>
        <w:trPr>
          <w:cantSplit/>
        </w:trPr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Klimawandel</w:t>
            </w:r>
          </w:p>
        </w:tc>
        <w:tc>
          <w:tcPr>
            <w:tcW w:type="dxa" w:w="29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Scope 1; Scope 2 location-based und market-based; Schätzung der Scope-3-Emissionen, die dem Kunden zuzurechnen sind; Reduktionsziele mit Basisjahr.</w:t>
            </w:r>
          </w:p>
        </w:tc>
        <w:tc>
          <w:tcPr>
            <w:tcW w:type="dxa" w:w="31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Bewertung der Umweltaspekte (6.1.2), Umweltziele (6.2), Überwachung und Messung (9.1.1); Emissionsinventar nach ISO 14064-1, Kennzahl pro belegtem Zimmer nach HCMI.</w:t>
            </w:r>
          </w:p>
        </w:tc>
      </w:tr>
      <w:tr>
        <w:trPr>
          <w:cantSplit/>
        </w:trPr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E3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Wasser und Meeresressourcen</w:t>
            </w:r>
          </w:p>
        </w:tc>
        <w:tc>
          <w:tcPr>
            <w:tcW w:type="dxa" w:w="29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Jährlicher Gesamtwasserverbrauch, nach Versorgungsquelle und mit Angabe des Einzugsgebiets.</w:t>
            </w:r>
          </w:p>
        </w:tc>
        <w:tc>
          <w:tcPr>
            <w:tcW w:type="dxa" w:w="31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Umweltaspekte (6.1.2), Zählerablesungen in der Überwachung (9.1.1), Compliance-Register für Wasserrechte (6.1.3).</w:t>
            </w:r>
          </w:p>
        </w:tc>
      </w:tr>
      <w:tr>
        <w:trPr>
          <w:cantSplit/>
        </w:trPr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E5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Ressourcennutzung und Kreislaufwirtschaft</w:t>
            </w:r>
          </w:p>
        </w:tc>
        <w:tc>
          <w:tcPr>
            <w:tcW w:type="dxa" w:w="29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Anteil der Abfälle zu Recycling, Verwertung und Beseitigung; Anteil der Einkäufe mit dokumentierten Nachhaltigkeitskriterien.</w:t>
            </w:r>
          </w:p>
        </w:tc>
        <w:tc>
          <w:tcPr>
            <w:tcW w:type="dxa" w:w="31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Abfallregister und Entsorgungsnachweise, Lebenswegperspektive in 6.1.2, Beschaffungskriterien in der operativen Steuerung (8.1).</w:t>
            </w:r>
          </w:p>
        </w:tc>
      </w:tr>
      <w:tr>
        <w:trPr>
          <w:cantSplit/>
        </w:trPr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S1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Eigene Belegschaft</w:t>
            </w:r>
          </w:p>
        </w:tc>
        <w:tc>
          <w:tcPr>
            <w:tcW w:type="dxa" w:w="29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Arbeitsbedingungen, Personalpolitiken.</w:t>
            </w:r>
          </w:p>
        </w:tc>
        <w:tc>
          <w:tcPr>
            <w:tcW w:type="dxa" w:w="31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Erzeugt das Umweltsystem nicht. Quelle: Personalabteilung.</w:t>
            </w:r>
          </w:p>
        </w:tc>
      </w:tr>
      <w:tr>
        <w:trPr>
          <w:cantSplit/>
        </w:trPr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G1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Unternehmensführung</w:t>
            </w:r>
          </w:p>
        </w:tc>
        <w:tc>
          <w:tcPr>
            <w:tcW w:type="dxa" w:w="29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Veröffentlichte Umweltpolitik, zuständiger Ausschuss, jährliche Disclosure; Lieferantenauswahlkriterien, Anteil bewerteter Lieferanten, Lieferanten-Verhaltenskodex.</w:t>
            </w:r>
          </w:p>
        </w:tc>
        <w:tc>
          <w:tcPr>
            <w:tcW w:type="dxa" w:w="31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Umweltpolitik (5.2), Rollen und Verantwortlichkeiten (5.3), Managementbewertung (9.3); Verhaltenskodex aus Governance und Einkauf.</w:t>
            </w:r>
          </w:p>
        </w:tc>
      </w:tr>
      <w:tr>
        <w:trPr>
          <w:cantSplit/>
        </w:trPr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E2, E4, S2 bis S4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Verschmutzung, Biodiversität, weitere Sozialthemen</w:t>
            </w:r>
          </w:p>
        </w:tc>
        <w:tc>
          <w:tcPr>
            <w:tcW w:type="dxa" w:w="298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Nur wenn die Wesentlichkeitsbewertung sie als wesentlich ausweist.</w:t>
            </w:r>
          </w:p>
        </w:tc>
        <w:tc>
          <w:tcPr>
            <w:tcW w:type="dxa" w:w="318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Teilweise aus Umweltaspekten und Kontextanalyse (4.1). Im Einzelfall prüfen.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Hinweis zu den Klauseln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Die Klauselangaben beziehen sich auf ISO 14001:2026, nicht auf die ESRS. Das System erzeugt Rohdaten und Nachweise. Die Form der Disclosure richtet sich nach dem anwendbaren Berichtsrahmen.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D. Datentabelle zum Ausfüllen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Eine Zeile pro Kennzahl. «Qualität» unterscheidet die vier Klassen aus Abschnitt 1.5: vorhanden und zuverlässig, vorhanden und konsolidierungsbedürftig, nicht vorhanden, zu konstruieren.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1157"/>
        <w:gridCol w:w="964"/>
        <w:gridCol w:w="1157"/>
        <w:gridCol w:w="1638"/>
        <w:gridCol w:w="1157"/>
        <w:gridCol w:w="1155"/>
      </w:tblGrid>
      <w:tr>
        <w:trPr>
          <w:tblHeader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Kennzahl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Einheit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Wert Vorjahr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Quelle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Methode, Faktor, Datenstand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Zuständig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Qualität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Scope 1 (Erdgas, Heizöl, Kältemittel)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 CO2e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Scope 2 location-based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 CO2e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Scope 2 market-based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 CO2e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Anteil Strom mit Herkunftsnachweis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%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Scope 3, Kategorie 1 (zugekaufte Güter und Dienstleistungen)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 CO2e (Größenordnung)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Emissionen pro belegtem Zimmer (HCMI, Scope 1 und 2)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kg CO2e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Wasserverbrauch gesamt, nach Quelle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m³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Einzugsgebiet der Wasserversorgung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Text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Abfall zu Recycling / Verwertung / Beseitigung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% je Weg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Einkäufe mit dokumentierten Nachhaltigkeitskriterien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% Einkaufsvolumen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Lieferanten mit dokumentierter Nachhaltigkeitsbewertung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%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Zertifiziertes Umweltmanagementsystem: Normversion, Datum des letzten Überwachungsaudits, offene Nichtkonformitäten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Text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Veröffentlichte Umweltpolitik, zuständiger Ausschuss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ja / nein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E. Antwortprotokoll für eingehende Datenanfragen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Anfrage erfassen: Absender, Frist, Umfang, angegebene Grundlage (Berichtspflicht des Kunden, Vertrag, Bank, Plattform).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Grundlage prüfen: Ist der Kunde selbst berichtspflichtig? Geht die Anfrage über den VSME hinaus? Ist sie vertraglich vereinbart?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Jede Frage einer der vier Datenklassen zuordnen. Die Arbeitsgruppe umfasst Vertrieb, Finanzen, Technik, Hausdame und F&amp;B, nicht nur die Nachhaltigkeitsfunktion.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Antworten nur mit belegten Daten. Fehlende Daten offen benennen, nicht schätzen. Eine Schätzung wird zur Erklärung des Lieferanten.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Freigabe durch die festgelegte Person. Antwort, Datenstand und Quellen als dokumentierte Information aufbewahren (7.5).</w:t>
      </w:r>
    </w:p>
    <w:p>
      <w:pPr>
        <w:pStyle w:val="ListParagraph"/>
        <w:numPr>
          <w:ilvl w:val="0"/>
          <w:numId w:val="3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Lücken in den Aufbauplan übernehmen. Das Buch rechnet für eine mittelkomplexe Struktur mit zwölf bis fünfzehn Monaten Aufbau.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Register der Datenanfragen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1638"/>
        <w:gridCol w:w="1638"/>
        <w:gridCol w:w="964"/>
        <w:gridCol w:w="1253"/>
        <w:gridCol w:w="1735"/>
        <w:gridCol w:w="1350"/>
      </w:tblGrid>
      <w:tr>
        <w:trPr>
          <w:tblHeader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Datum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Absender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Grundlage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Frist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Über VSME hinaus?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Entscheidung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Freigabe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Formulierungsbeispiele für ehrliche Antworten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Fehlendes Datum: «Dieses Datum ist derzeit nicht strukturiert verfügbar. Wir haben ein Programm zum Aufbau unserer Datenbasis gestartet und erwarten vorläufige Ergebnisse in [Monaten].»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Scope 2: «Scope 2 location-based: [Wert] t CO2e. Scope 2 market-based: [Wert] t CO2e, davon [x] % des Stroms durch Herkunftsnachweise gedeckt.»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Scope 3: «Die Schätzung beruht auf Ausgaben mal Emissionsfaktor ([Quelle, Datenstand]). Sie ist eine Größenordnung, kein Punktwert.»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Grenze der Anfrage: «Wir liefern die Angaben nach dem freiwilligen Standard (VSME). Weitere Angaben prüfen wir auf Grundlage einer vertraglichen Vereinbarung.»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Was dieses Material nicht ist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Dieses Material ersetzt weder die ESRS noch den VSME noch die ISO 14001:2026 im Wortlaut. Es ist keine Rechtsberatung: Ob ein Unternehmen berichtspflichtig ist, bestimmen das nationale Umsetzungsrecht und die Konzernstruktur. Tabellen und Prüffragen sind an das eigene Haus anzupassen. Rechtsstand ist der 9. Oktober 2026.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i/>
          <w:iCs/>
          <w:color w:val="1A1A1A"/>
          <w:sz w:val="21"/>
          <w:szCs w:val="21"/>
        </w:rPr>
        <w:t xml:space="preserve">Bezug im Buch: Band 1a, Abschnitt 1.5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A5A5A"/>
        <w:sz w:val="16"/>
        <w:szCs w:val="16"/>
      </w:rPr>
      <w:t xml:space="preserve">Francesco Dore · Das Steuer und die Lupe · Band 1a · Seite </w:t>
    </w:r>
    <w:r>
      <w:rPr>
        <w:rFonts w:ascii="Aptos" w:cs="Aptos" w:eastAsia="Aptos" w:hAnsi="Aptos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ptos" w:cs="Aptos" w:eastAsia="Aptos" w:hAnsi="Aptos"/>
      <w:b/>
      <w:bCs/>
      <w:color w:val="00206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Dore</dc:creator>
  <cp:lastModifiedBy>Un-named</cp:lastModifiedBy>
  <cp:revision>1</cp:revision>
  <dcterms:created xsi:type="dcterms:W3CDTF">2026-10-10T03:15:36.376Z</dcterms:created>
  <dcterms:modified xsi:type="dcterms:W3CDTF">2026-10-10T03:15:36.377Z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