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ptos" w:cs="Aptos" w:eastAsia="Aptos" w:hAnsi="Aptos"/>
          <w:color w:val="5A5A5A"/>
          <w:sz w:val="18"/>
          <w:szCs w:val="18"/>
        </w:rPr>
        <w:t xml:space="preserve">Das Steuer und die Lupe · Band 1a · ISO 14001:2026</w:t>
      </w:r>
    </w:p>
    <w:p>
      <w:pPr>
        <w:spacing w:after="200"/>
      </w:pPr>
      <w:r>
        <w:rPr>
          <w:rFonts w:ascii="Aptos" w:cs="Aptos" w:eastAsia="Aptos" w:hAnsi="Aptos"/>
          <w:b/>
          <w:bCs/>
          <w:color w:val="8C5A2B"/>
          <w:sz w:val="18"/>
          <w:szCs w:val="18"/>
        </w:rPr>
        <w:t xml:space="preserve">ONLINE-MATERIAL ZU ABSCHNITT 1.7</w:t>
      </w:r>
    </w:p>
    <w:p>
      <w:pPr>
        <w:pStyle w:val="Heading1"/>
        <w:spacing w:after="120" w:line="360"/>
      </w:pPr>
      <w:r>
        <w:rPr>
          <w:rFonts w:ascii="Aptos" w:cs="Aptos" w:eastAsia="Aptos" w:hAnsi="Aptos"/>
          <w:b/>
          <w:bCs/>
          <w:color w:val="002060"/>
          <w:sz w:val="36"/>
          <w:szCs w:val="36"/>
        </w:rPr>
        <w:t xml:space="preserve">Methodik zur Erstellung eines Net-Zero-Plans für das Gastgewerbe</w:t>
      </w:r>
    </w:p>
    <w:p>
      <w:pPr>
        <w:spacing w:after="200"/>
      </w:pPr>
      <w:r>
        <w:rPr>
          <w:rFonts w:ascii="Aptos" w:cs="Aptos" w:eastAsia="Aptos" w:hAnsi="Aptos"/>
          <w:i/>
          <w:iCs/>
          <w:color w:val="5A5A5A"/>
          <w:sz w:val="22"/>
          <w:szCs w:val="22"/>
        </w:rPr>
        <w:t xml:space="preserve">Schritt-für-Schritt-Leitfaden und Vorlage «Net-Zero-Plan des Hauses»</w:t>
      </w:r>
    </w:p>
    <w:p>
      <w:pPr>
        <w:pBdr>
          <w:bottom w:val="single" w:color="C9BBA6" w:sz="6" w:space="4"/>
        </w:pBdr>
        <w:spacing w:after="240"/>
      </w:pPr>
      <w:r>
        <w:rPr>
          <w:rFonts w:ascii="Aptos" w:cs="Aptos" w:eastAsia="Aptos" w:hAnsi="Aptos"/>
          <w:color w:val="5A5A5A"/>
          <w:sz w:val="17"/>
          <w:szCs w:val="17"/>
        </w:rPr>
        <w:t xml:space="preserve">Stand: 9. Oktober 2026 · buecher.effedore.com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C5A2B" w:sz="24"/>
              <w:bottom w:val="none" w:color="FFFFFF" w:sz="0"/>
              <w:right w:val="none" w:color="FFFFFF" w:sz="0"/>
            </w:tcBorders>
            <w:shd w:fill="EFE7D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rFonts w:ascii="Aptos" w:cs="Aptos" w:eastAsia="Aptos" w:hAnsi="Aptos"/>
                <w:b/>
                <w:bCs/>
                <w:color w:val="8C5A2B"/>
                <w:sz w:val="18"/>
                <w:szCs w:val="18"/>
              </w:rPr>
              <w:t xml:space="preserve">Zu diesem Material </w:t>
            </w: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Der Leitfaden folgt den vier methodischen Prinzipien aus Abschnitt 1.7. Die Kalibrierung nach Hoteltyp in Teil C besteht aus Prüffragen, nicht aus Richtwerten, weil belegte Branchenwerte fehlen. Emissionsfaktoren und Rechner enthält dieses Material nicht.</w:t>
            </w:r>
          </w:p>
        </w:tc>
      </w:tr>
    </w:tbl>
    <w:p>
      <w:pPr>
        <w:spacing w:after="12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A. Begriffe und Prinzipien</w:t>
      </w: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Net Zero ist nicht Kompensation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Net Zero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bedeutet eine absolute Reduktion der Emissionen auf ein Niveau nahe null. Der Rest wird durch permanente Kohlenstoffentfernungen bewirtschaftet. Nach dem SBTi Corporate Net-Zero Standard ist er auf höchstens rund 10 % des Ausgangsniveaus begrenzt.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«Weiterhin emittieren und Gutschriften kaufen» ist kein Net Zero. Gutschriften sind ein legitimes Instrument, aber kein Ersatz für die eigene Reduktion.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4"/>
        <w:gridCol w:w="6554"/>
      </w:tblGrid>
      <w:tr>
        <w:trPr>
          <w:tblHeader/>
        </w:trPr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Prinzip</w:t>
            </w:r>
          </w:p>
        </w:tc>
        <w:tc>
          <w:tcPr>
            <w:tcW w:type="dxa" w:w="655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Was es im Plan verlangt</w:t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1. Vorrang der absoluten Reduktion</w:t>
            </w:r>
          </w:p>
        </w:tc>
        <w:tc>
          <w:tcPr>
            <w:tcW w:type="dxa" w:w="655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Zuerst messen, dann reduzieren. Kompensation nur für den Rest, den verfügbare Technik nicht beseitigt.</w:t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2. Trajektorie auf mehreren Horizonten</w:t>
            </w:r>
          </w:p>
        </w:tc>
        <w:tc>
          <w:tcPr>
            <w:tcW w:type="dxa" w:w="655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Quantitative Ziele für 2030, 2040 und 2050, mit jährlicher Überprüfung der Ausrichtung.</w:t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3. Scope 1, 2 und 3</w:t>
            </w:r>
          </w:p>
        </w:tc>
        <w:tc>
          <w:tcPr>
            <w:tcW w:type="dxa" w:w="655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Die relevanten Quellen entlang der Wertschöpfungskette einbeziehen, mit separaten Zielen je Scope.</w:t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4. Ausrichtung an der Klimawissenschaft</w:t>
            </w:r>
          </w:p>
        </w:tc>
        <w:tc>
          <w:tcPr>
            <w:tcW w:type="dxa" w:w="655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Kohärenz mit der Begrenzung auf 1,5 °C. Formal mit externer Validierung oder substanziell ohne Validierung, offen benannt.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Bezugsrahmen, wie das Buch ihn nennt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ISO 14064-1:2018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für das Inventar auf Organisationsebene. </w:t>
      </w: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ISO 14064-2:2019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für Reduktionsprojekte. </w:t>
      </w: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ISO 14064-3:2019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für Verifikation und Validierung.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ISO 14068:2026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(seit 11. September 2026, ersetzt ISO 14068-1:2023) für Klimaneutralität: vorrangige absolute Reduktion, Qualität der Zertifikate für den Rest, vollständige Transparenz.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SBTi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: kein Sektorstandard für das Gastgewerbe. Anwendbar sind der Corporate Net-Zero Standard und für Gebäudeeigentümer und -betreiber die Buildings Criteria (v1.2, Juli 2026).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SBTi Corporate Net-Zero Standard Version 2.0: veröffentlicht im Juni 2026, wirksam ab 1. Februar 2027. Die bisherige Version ist bis 31. Januar 2028 nutzbar.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HCMI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: Branchenmethodik für Scope 1 und 2 einschließlich ausgelagerter Wäscherei, pro belegtem Zimmer. Sie erfasst Scope 3 und die Gästeanreise nicht.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Glasgow Declaration on Climate Action in Tourism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: Unterzeichner legen binnen zwölf Monaten einen Klimaaktionsplan vor. Sie halbieren die Emissionen bis 2030, erreichen Net Zero vor 2050 und berichten jährlich.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ISO 14001:2026 schreibt kein Net-Zero-Ziel vor. Verbindungen bestehen über Kontext (4.1), Umweltziele (6.2), Überwachung (9.1) und Managementbewertung (9.3).</w:t>
      </w: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B. Leitfaden in zehn Schritten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Entscheidung der Eigentümerschaft.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Strukturierter Pfad oder Kompensationsprogramm: Das sind zwei verschiedene Wege. Die Wahl trifft die Eigentümerschaft, nicht ein Anbieter.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Systemgrenzen und Basisjahr.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Häuser, Gebäude, ausgelagerte Leistungen festlegen. Basisjahr wählen, das den Normalbetrieb abbildet. Die Baseline stammt aus dem ersten vollständigen Inventar.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Inventar Scope 1 und 2.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Nach ISO 14064-1. Scope 2 location-based und market-based getrennt. Zusätzlich die HCMI-Kennzahl pro belegtem Zimmer.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Inventar Scope 3.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Relevante Kategorien bestimmen, typischerweise 1 (zugekaufte Güter und Dienstleistungen), 3 (energiebezogene Vorkette) und 5 (Abfall). Gästeanreise nur gesondert als optionales Element der Kategorie 9.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Methodische Grenzen dokumentieren.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Ausgabenbasierte Faktoren liefern Größenordnungen, keine Punktwerte. Faktoren mit Quelle und Datenstand ausweisen.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Trajektorie festlegen.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Zwischenziele 2030 und 2040, Horizont 2050, getrennt für Scope 1 und 2 sowie Scope 3, absolut formuliert. Über formale SBTi-Validierung jetzt oder später bewusst entscheiden.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Maßnahmenplan Scope 1 und 2.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Gebäudehülle, Ausstieg aus fossilen Brennstoffen für Heizung und Küche, Wärmepumpen, Eigenerzeugung, Stromvertrag mit erneuerbarer Komponente.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Maßnahmenplan Scope 3.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Kritische Lieferanten (Lebensmittel, Wäscherei, Verbrauchsmaterial) einbinden, Emissionsdaten anfordern, Klimakriterien in die Beschaffung aufnehmen.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Investitionen und Förderung.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Maßnahmen in den jährlich erneuerten dreijährigen Investitionsplan aufnehmen. Förderfähigkeit prüfen: in Deutschland BAFA und KfW, in Österreich Umweltförderung im Inland, in der Schweiz «Das Gebäudeprogramm».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Integration und Überprüfung.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Ziele als Umweltziele nach 6.2 führen, Fortschritt nach 9.1 überwachen, Kohärenz mit der Kommunikation in der Managementbewertung (9.3) behandeln. Jährlich gegen die Trajektorie prüfen.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C5A2B" w:sz="24"/>
              <w:bottom w:val="none" w:color="FFFFFF" w:sz="0"/>
              <w:right w:val="none" w:color="FFFFFF" w:sz="0"/>
            </w:tcBorders>
            <w:shd w:fill="EFE7D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rFonts w:ascii="Aptos" w:cs="Aptos" w:eastAsia="Aptos" w:hAnsi="Aptos"/>
                <w:b/>
                <w:bCs/>
                <w:color w:val="8C5A2B"/>
                <w:sz w:val="18"/>
                <w:szCs w:val="18"/>
              </w:rPr>
              <w:t xml:space="preserve">Preissignale im DACH-Raum </w:t>
            </w: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Deutschland: BEHG-Preiskorridor 55 bis 65 Euro je Tonne CO2, nach Stand Oktober 2026 auch 2027; ab 2028 übernimmt ETS2. Seit 29. Juli 2026 ist das GModG maßgeblich. Österreich: NEHG 2022. Vor jeder Investitionsentscheidung den aktuellen Stand prüfen.</w:t>
            </w:r>
          </w:p>
        </w:tc>
      </w:tr>
    </w:tbl>
    <w:p>
      <w:pPr>
        <w:spacing w:after="12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C. Kalibrierung nach Größe und Hoteltyp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6939"/>
      </w:tblGrid>
      <w:tr>
        <w:trPr>
          <w:tblHeader/>
        </w:trPr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Größe</w:t>
            </w:r>
          </w:p>
        </w:tc>
        <w:tc>
          <w:tcPr>
            <w:tcW w:type="dxa" w:w="69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Methodische Tiefe</w:t>
            </w:r>
          </w:p>
        </w:tc>
      </w:tr>
      <w:tr>
        <w:trPr>
          <w:cantSplit/>
        </w:trPr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Einzelhaus, Familieneigentum</w:t>
            </w:r>
          </w:p>
        </w:tc>
        <w:tc>
          <w:tcPr>
            <w:tcW w:type="dxa" w:w="69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Inventar Scope 1 und 2 vollständig, Scope 3 für die wesentlichen Kategorien als Größenordnung. Substanzielle SBTi-Ausrichtung, formale Validierung später prüfen, auch über den vereinfachten Weg für kleinere Unternehmen.</w:t>
            </w:r>
          </w:p>
        </w:tc>
      </w:tr>
      <w:tr>
        <w:trPr>
          <w:cantSplit/>
        </w:trPr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Kleine Gruppe (zwei bis fünf Häuser)</w:t>
            </w:r>
          </w:p>
        </w:tc>
        <w:tc>
          <w:tcPr>
            <w:tcW w:type="dxa" w:w="69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Einheitliche Methode und Basisjahr für alle Häuser, Kennzahlen je Haus und konsolidiert. Lieferantenengagement auf Gruppenebene.</w:t>
            </w:r>
          </w:p>
        </w:tc>
      </w:tr>
      <w:tr>
        <w:trPr>
          <w:cantSplit/>
        </w:trPr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Mittelgroße Gruppe</w:t>
            </w:r>
          </w:p>
        </w:tc>
        <w:tc>
          <w:tcPr>
            <w:tcW w:type="dxa" w:w="69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Zusätzlich unabhängige Verifikation nach ISO 14064-3, schrittweise erweitert. Formale Validierung früh entscheiden. Bei CSRD-Exposition Kohärenz mit ESRS E1.</w:t>
            </w:r>
          </w:p>
        </w:tc>
      </w:tr>
    </w:tbl>
    <w:p>
      <w:pPr>
        <w:spacing w:after="140"/>
      </w:pP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 folgenden Prüffragen zeigen, wo das Inventar je Hoteltyp besonders genau hinsehen sollte. Sie ersetzen nicht die Messung im eigenen Haus.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49"/>
        <w:gridCol w:w="8289"/>
      </w:tblGrid>
      <w:tr>
        <w:trPr>
          <w:tblHeader/>
        </w:trPr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Typ</w:t>
            </w:r>
          </w:p>
        </w:tc>
        <w:tc>
          <w:tcPr>
            <w:tcW w:type="dxa" w:w="828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Prüffragen für Inventar und Maßnahmen</w:t>
            </w:r>
          </w:p>
        </w:tc>
      </w:tr>
      <w:tr>
        <w:trPr>
          <w:cantSplit/>
        </w:trPr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Stadt</w:t>
            </w:r>
          </w:p>
        </w:tc>
        <w:tc>
          <w:tcPr>
            <w:tcW w:type="dxa" w:w="828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Wie hoch ist der Anteil von Fernwärme und Netzstrom? Welcher Teil des Stroms ist market-based gedeckt? Welche Rolle spielen MICE-Veranstaltungen im Einkauf?</w:t>
            </w:r>
          </w:p>
        </w:tc>
      </w:tr>
      <w:tr>
        <w:trPr>
          <w:cantSplit/>
        </w:trPr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Küste</w:t>
            </w:r>
          </w:p>
        </w:tc>
        <w:tc>
          <w:tcPr>
            <w:tcW w:type="dxa" w:w="828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Wie groß ist der Kühlbedarf in der Saison? Welche Lebensmittel kommen über lange Transportwege?</w:t>
            </w:r>
          </w:p>
        </w:tc>
      </w:tr>
      <w:tr>
        <w:trPr>
          <w:cantSplit/>
        </w:trPr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See</w:t>
            </w:r>
          </w:p>
        </w:tc>
        <w:tc>
          <w:tcPr>
            <w:tcW w:type="dxa" w:w="828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Wie verteilt sich der Wärmebedarf über Hoch- und Schultersaison? Gibt es Potenzial für Wärmepumpen oder Eigenerzeugung auf Nebengebäuden?</w:t>
            </w:r>
          </w:p>
        </w:tc>
      </w:tr>
      <w:tr>
        <w:trPr>
          <w:cantSplit/>
        </w:trPr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Berg</w:t>
            </w:r>
          </w:p>
        </w:tc>
        <w:tc>
          <w:tcPr>
            <w:tcW w:type="dxa" w:w="828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Welche fossilen Brennstoffe decken die Heizlast im Winter? Welche Transporte (Versorgung, Personal) fallen durch die Lage an?</w:t>
            </w:r>
          </w:p>
        </w:tc>
      </w:tr>
      <w:tr>
        <w:trPr>
          <w:cantSplit/>
        </w:trPr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Therme</w:t>
            </w:r>
          </w:p>
        </w:tc>
        <w:tc>
          <w:tcPr>
            <w:tcW w:type="dxa" w:w="828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Welcher Anteil der Energie geht in Becken, Saunen und Wassererwärmung? Wird Abwärme zurückgewonnen?</w:t>
            </w:r>
          </w:p>
        </w:tc>
      </w:tr>
      <w:tr>
        <w:trPr>
          <w:cantSplit/>
        </w:trPr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Land</w:t>
            </w:r>
          </w:p>
        </w:tc>
        <w:tc>
          <w:tcPr>
            <w:tcW w:type="dxa" w:w="828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Wie hoch ist der Anteil von Heizöl oder Flüssiggas? Gibt es regionale Lieferketten für Lebensmittel mit belegter Klimaperformance?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D. Vorlage «Net-Zero-Plan des Hauses»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1. Stammdaten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Feld</w:t>
            </w:r>
          </w:p>
        </w:tc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Eintrag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Haus / Gruppe, Systemgrenzen</w:t>
            </w:r>
          </w:p>
        </w:tc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Basisjahr und Begründung</w:t>
            </w:r>
          </w:p>
        </w:tc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Verantwortlich für den Plan (Name, Funktion)</w:t>
            </w:r>
          </w:p>
        </w:tc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Freigabe durch die Eigentümerschaft (Datum)</w:t>
            </w:r>
          </w:p>
        </w:tc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Formale Validierung: ja / nein / später, Begründung</w:t>
            </w:r>
          </w:p>
        </w:tc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Stand der nächsten Überprüfung</w:t>
            </w:r>
          </w:p>
        </w:tc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2. Inventar im Basisjahr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7"/>
        <w:gridCol w:w="2217"/>
        <w:gridCol w:w="1157"/>
        <w:gridCol w:w="1735"/>
        <w:gridCol w:w="1060"/>
        <w:gridCol w:w="1253"/>
        <w:gridCol w:w="1349"/>
      </w:tblGrid>
      <w:tr>
        <w:trPr>
          <w:tblHeader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Scope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Quelle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Menge, Einheit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Emissionsfaktor, Quelle, Datenstand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t CO2e Basisjahr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Methode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Qualität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1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Erdgas / Heizöl (Heizung, Warmwasser)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ISO 14064-1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1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Erdgas (Küche)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ISO 14064-1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1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Kältemittelverluste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ISO 14064-1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2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Netzstrom location-based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ISO 14064-1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2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Netzstrom market-based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ISO 14064-1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2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Fernwärme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ISO 14064-1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3 / Kat. 1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Lebensmittel und Getränke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ausgabenbasiert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3 / Kat. 1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Ausgelagerte Wäscherei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3 / Kat. 3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Energiebezogene Vorkette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3 / Kat. 5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Abfall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3 / Kat. 9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Gästeanreise (optional, gesondert)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Summe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Scope 1 + 2 / Scope 3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3. Trajektorie und Zwischenziele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7"/>
        <w:gridCol w:w="2506"/>
        <w:gridCol w:w="2506"/>
        <w:gridCol w:w="3469"/>
      </w:tblGrid>
      <w:tr>
        <w:trPr>
          <w:tblHeader/>
        </w:trPr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Horizont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Scope 1 + 2 (absolut, % gegenüber Basisjahr)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Scope 3 (absolut, % gegenüber Basisjahr)</w:t>
            </w:r>
          </w:p>
        </w:tc>
        <w:tc>
          <w:tcPr>
            <w:tcW w:type="dxa" w:w="34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Begründung, Bezug zur 1,5-°C-Trajektorie</w:t>
            </w:r>
          </w:p>
        </w:tc>
      </w:tr>
      <w:tr>
        <w:trPr>
          <w:cantSplit/>
        </w:trPr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2030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34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2040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34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2050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34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Restemissionen höchstens rund 10 % des Ausgangsniveaus (SBTi)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4. Maßnahmenplan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771"/>
        <w:gridCol w:w="1157"/>
        <w:gridCol w:w="1157"/>
        <w:gridCol w:w="1060"/>
        <w:gridCol w:w="1253"/>
        <w:gridCol w:w="964"/>
        <w:gridCol w:w="1156"/>
      </w:tblGrid>
      <w:tr>
        <w:trPr>
          <w:tblHeader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Maßnahme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Scope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Reduktion t CO2e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Investition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Förderung geprüft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Zuständig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Termin</w:t>
            </w:r>
          </w:p>
        </w:tc>
        <w:tc>
          <w:tcPr>
            <w:tcW w:type="dxa" w:w="11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Indikator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5. Restemissionen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Frage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Eintrag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Welche Emissionen gelten nach Ausschöpfung der Maßnahmen als nicht vermeidbar?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Geplante Kohlenstoffentfernungen (Art, Qualität, Zeitpunkt)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Wie werden Reduktion und Entfernung getrennt ausgewiesen?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6. Kommunikationsregeln gegen Greenwashing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192"/>
        <w:gridCol w:w="1446"/>
      </w:tblGrid>
      <w:tr>
        <w:trPr>
          <w:tblHeader/>
        </w:trPr>
        <w:tc>
          <w:tcPr>
            <w:tcW w:type="dxa" w:w="81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Regel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Erfüllt</w:t>
            </w:r>
          </w:p>
        </w:tc>
      </w:tr>
      <w:tr>
        <w:trPr>
          <w:cantSplit/>
        </w:trPr>
        <w:tc>
          <w:tcPr>
            <w:tcW w:type="dxa" w:w="81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Die Trajektorie wird veröffentlicht, mit jährlichem Fortschritt und methodischen Grenzen.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1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Reduzierte und kompensierte Emissionen werden getrennt ausgewiesen.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1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«Net Zero» wird nur verwendet, wenn die Methodik der Definition entspricht. Kein Etikett vor dem Ergebnis.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1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Kein «klimaneutral» auf Grundlage zugekaufter Gutschriften gegenüber Verbrauchern. In Deutschland und Österreich seit 27. September 2026 unzulässig.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1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«Klimaneutral» nur, wenn die Substanz nach ISO 14068:2026 es trägt.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1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Aussagen über künftige Leistungen nur mit detailliertem, unabhängig überprüftem Umsetzungsplan.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1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«100 % erneuerbar» nur bei voller Deckung. Sonst: «Scope 2 market-based zu x % durch Herkunftsnachweise gedeckt».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1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Jeder Umwelt-Claim wird vor Veröffentlichung von der festgelegten Stelle freigegeben.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1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Schweizer Häuser: Klimaaussagen nur auf objektiven, überprüfbaren Grundlagen (Art. 3 Abs. 1 Bst. x UWG).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7. Jährliche Überwachung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1542"/>
        <w:gridCol w:w="1542"/>
        <w:gridCol w:w="1542"/>
        <w:gridCol w:w="1542"/>
      </w:tblGrid>
      <w:tr>
        <w:trPr>
          <w:tblHeader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Indikator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Basisjahr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Vorjahr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Ist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Plan laut Trajektorie</w:t>
            </w:r>
          </w:p>
        </w:tc>
      </w:tr>
      <w:tr>
        <w:trPr>
          <w:cantSplit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Scope 1 absolut (t CO2e)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Scope 2 market-based (t CO2e)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Scope 3 (Größenordnung)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HCMI-Kennzahl pro belegtem Zimmer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Verhältnis interne Reduktion zu Kompensation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Kritische Lieferanten mit Emissionsdaten (%)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E. Prüffragen für ein Angebot von außen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Wie viel Prozent der Emissionen werden reduziert, wie viel kompensiert?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Gibt es Zwischenziele mit Basisjahr, oder nur ein Endziel?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Ist Scope 3 enthalten, und mit welcher Methode?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Welche Aussage darf das Haus am Ende kommunizieren, und hält sie der Richtlinie (EU) 2024/825 stand?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Wer im Haus baut die Kompetenz auf, den Plan ohne den Anbieter weiterzuführen?</w:t>
      </w: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Was dieses Material nicht ist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Dieses Material ersetzt weder ISO 14064, ISO 14068:2026 noch die SBTi-Standards im Wortlaut. Es ist keine Rechts-, Förder- oder Investitionsberatung. Ziele, Maßnahmen und Beträge legt das Haus selbst fest und passt die Vorlage an. Rechtsstand ist der 9. Oktober 2026.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i/>
          <w:iCs/>
          <w:color w:val="1A1A1A"/>
          <w:sz w:val="21"/>
          <w:szCs w:val="21"/>
        </w:rPr>
        <w:t xml:space="preserve">Bezug im Buch: Band 1a, Abschnitt 1.7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5A5A5A"/>
        <w:sz w:val="16"/>
        <w:szCs w:val="16"/>
      </w:rPr>
      <w:t xml:space="preserve">Francesco Dore · Das Steuer und die Lupe · Band 1a · Seite </w:t>
    </w:r>
    <w:r>
      <w:rPr>
        <w:rFonts w:ascii="Aptos" w:cs="Aptos" w:eastAsia="Aptos" w:hAnsi="Aptos"/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ptos" w:cs="Aptos" w:eastAsia="Aptos" w:hAnsi="Aptos"/>
      <w:b/>
      <w:bCs/>
      <w:color w:val="002060"/>
      <w:sz w:val="36"/>
      <w:szCs w:val="3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Dore</dc:creator>
  <cp:lastModifiedBy>Un-named</cp:lastModifiedBy>
  <cp:revision>1</cp:revision>
  <dcterms:created xsi:type="dcterms:W3CDTF">2026-10-10T03:15:36.763Z</dcterms:created>
  <dcterms:modified xsi:type="dcterms:W3CDTF">2026-10-10T03:15:36.764Z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