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1a · ISO 14001:2026</w:t>
      </w:r>
    </w:p>
    <w:p>
      <w:pPr>
        <w:spacing w:after="200"/>
      </w:pPr>
      <w:r>
        <w:rPr>
          <w:rFonts w:ascii="Aptos" w:cs="Aptos" w:eastAsia="Aptos" w:hAnsi="Aptos"/>
          <w:b/>
          <w:bCs/>
          <w:color w:val="8C5A2B"/>
          <w:sz w:val="18"/>
          <w:szCs w:val="18"/>
        </w:rPr>
        <w:t xml:space="preserve">ONLINE-MATERIAL ZU ABSCHNITT 1.9</w:t>
      </w:r>
    </w:p>
    <w:p>
      <w:pPr>
        <w:pStyle w:val="Heading1"/>
        <w:spacing w:after="120" w:line="360"/>
      </w:pPr>
      <w:r>
        <w:rPr>
          <w:rFonts w:ascii="Aptos" w:cs="Aptos" w:eastAsia="Aptos" w:hAnsi="Aptos"/>
          <w:b/>
          <w:bCs/>
          <w:color w:val="002060"/>
          <w:sz w:val="36"/>
          <w:szCs w:val="36"/>
        </w:rPr>
        <w:t xml:space="preserve">Kosten und Rückfluss der Zertifizierung: Rechenrahmen</w:t>
      </w:r>
    </w:p>
    <w:p>
      <w:pPr>
        <w:spacing w:after="200"/>
      </w:pPr>
      <w:r>
        <w:rPr>
          <w:rFonts w:ascii="Aptos" w:cs="Aptos" w:eastAsia="Aptos" w:hAnsi="Aptos"/>
          <w:i/>
          <w:iCs/>
          <w:color w:val="5A5A5A"/>
          <w:sz w:val="22"/>
          <w:szCs w:val="22"/>
        </w:rPr>
        <w:t xml:space="preserve">Ein Arbeitsrahmen, mit dem das Haus seine eigenen Kosten und Rückflüsse über drei Jahre erfasst</w:t>
      </w:r>
    </w:p>
    <w:p>
      <w:pPr>
        <w:pBdr>
          <w:bottom w:val="single" w:color="C9BBA6" w:sz="6" w:space="4"/>
        </w:pBdr>
        <w:spacing w:after="240"/>
      </w:pPr>
      <w:r>
        <w:rPr>
          <w:rFonts w:ascii="Aptos" w:cs="Aptos" w:eastAsia="Aptos" w:hAnsi="Aptos"/>
          <w:color w:val="5A5A5A"/>
          <w:sz w:val="17"/>
          <w:szCs w:val="17"/>
        </w:rPr>
        <w:t xml:space="preserve">Stand: 9.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80" w:line="300"/>
            </w:pPr>
            <w:r>
              <w:rPr>
                <w:rFonts w:ascii="Aptos" w:cs="Aptos" w:eastAsia="Aptos" w:hAnsi="Aptos"/>
                <w:b/>
                <w:bCs/>
                <w:color w:val="8C5A2B"/>
                <w:sz w:val="18"/>
                <w:szCs w:val="18"/>
              </w:rPr>
              <w:t xml:space="preserve">Zu diesem Material </w:t>
            </w:r>
            <w:r>
              <w:rPr>
                <w:rFonts w:ascii="Aptos" w:cs="Aptos" w:eastAsia="Aptos" w:hAnsi="Aptos"/>
                <w:color w:val="1A1A1A"/>
                <w:sz w:val="21"/>
                <w:szCs w:val="21"/>
              </w:rPr>
              <w:t xml:space="preserve">Das Material enthält einen Rechenrahmen und Arbeitsblätter, keinen Branchen-Benchmark nach Hotelkategorie.</w:t>
            </w:r>
          </w:p>
          <w:p>
            <w:pPr>
              <w:spacing w:after="0" w:line="300"/>
            </w:pPr>
            <w:r>
              <w:rPr>
                <w:rFonts w:ascii="Aptos" w:cs="Aptos" w:eastAsia="Aptos" w:hAnsi="Aptos"/>
                <w:color w:val="1A1A1A"/>
                <w:sz w:val="21"/>
                <w:szCs w:val="21"/>
              </w:rPr>
              <w:t xml:space="preserve">Eine belastbare, öffentliche Datengrundlage zu Kosten und Rückflüssen je Hotelkategorie im DACH-Raum gibt es nicht. Werte anderer Häuser sind wegen Größe, Betriebsmodell und Ausgangslage nicht übertragbar. Das Haus erhebt deshalb seine eigenen Zahlen.</w:t>
            </w:r>
          </w:p>
        </w:tc>
      </w:tr>
    </w:tbl>
    <w:p>
      <w:pPr>
        <w:spacing w:after="120"/>
      </w:pPr>
    </w:p>
    <w:p>
      <w:pPr>
        <w:keepNext/>
        <w:spacing w:after="120" w:before="280"/>
      </w:pPr>
      <w:r>
        <w:rPr>
          <w:rFonts w:ascii="Aptos" w:cs="Aptos" w:eastAsia="Aptos" w:hAnsi="Aptos"/>
          <w:b/>
          <w:bCs/>
          <w:color w:val="8C5A2B"/>
          <w:sz w:val="26"/>
          <w:szCs w:val="26"/>
        </w:rPr>
        <w:t xml:space="preserve">A. Der Grundgedanke</w:t>
      </w:r>
    </w:p>
    <w:p>
      <w:pPr>
        <w:spacing w:after="140" w:before="0" w:line="300"/>
        <w:jc w:val="both"/>
      </w:pPr>
      <w:r>
        <w:rPr>
          <w:rFonts w:ascii="Aptos" w:cs="Aptos" w:eastAsia="Aptos" w:hAnsi="Aptos"/>
          <w:color w:val="1A1A1A"/>
          <w:sz w:val="21"/>
          <w:szCs w:val="21"/>
        </w:rPr>
        <w:t xml:space="preserve">Den Wert erzeugt das Umweltmanagementsystem, das Zertifikat bestätigt es nur. Eine Zertifizierung mit einem Fassadensystem erzeugt Wert nahe null. Der Rechenrahmen trennt deshalb zwei Kostenblöcke und fünf Rückflussarten.</w:t>
      </w:r>
    </w:p>
    <w:p>
      <w:pPr>
        <w:pStyle w:val="ListParagraph"/>
        <w:numPr>
          <w:ilvl w:val="0"/>
          <w:numId w:val="2"/>
        </w:numPr>
        <w:spacing w:after="70" w:line="290"/>
        <w:jc w:val="left"/>
      </w:pPr>
      <w:r>
        <w:rPr>
          <w:rFonts w:ascii="Aptos" w:cs="Aptos" w:eastAsia="Aptos" w:hAnsi="Aptos"/>
          <w:b/>
          <w:bCs/>
          <w:color w:val="1A1A1A"/>
          <w:sz w:val="21"/>
          <w:szCs w:val="21"/>
        </w:rPr>
        <w:t xml:space="preserve">Formelle Zertifizierungskosten:</w:t>
      </w:r>
      <w:r>
        <w:rPr>
          <w:rFonts w:ascii="Aptos" w:cs="Aptos" w:eastAsia="Aptos" w:hAnsi="Aptos"/>
          <w:color w:val="1A1A1A"/>
          <w:sz w:val="21"/>
          <w:szCs w:val="21"/>
        </w:rPr>
        <w:t xml:space="preserve"> Begleitberatung, Zertifizierungsaudit, Aufrechterhaltung. Sie sind nach dem Buch ein Minderheitsanteil der Gesamtinvestition.</w:t>
      </w:r>
    </w:p>
    <w:p>
      <w:pPr>
        <w:pStyle w:val="ListParagraph"/>
        <w:numPr>
          <w:ilvl w:val="0"/>
          <w:numId w:val="2"/>
        </w:numPr>
        <w:spacing w:after="70" w:line="290"/>
        <w:jc w:val="left"/>
      </w:pPr>
      <w:r>
        <w:rPr>
          <w:rFonts w:ascii="Aptos" w:cs="Aptos" w:eastAsia="Aptos" w:hAnsi="Aptos"/>
          <w:b/>
          <w:bCs/>
          <w:color w:val="1A1A1A"/>
          <w:sz w:val="21"/>
          <w:szCs w:val="21"/>
        </w:rPr>
        <w:t xml:space="preserve">Substanzielle Systeminvestitionen:</w:t>
      </w:r>
      <w:r>
        <w:rPr>
          <w:rFonts w:ascii="Aptos" w:cs="Aptos" w:eastAsia="Aptos" w:hAnsi="Aptos"/>
          <w:color w:val="1A1A1A"/>
          <w:sz w:val="21"/>
          <w:szCs w:val="21"/>
        </w:rPr>
        <w:t xml:space="preserve"> Governance, Prozesse, Daten, Integration mit der Disclosure, Management der Wertschöpfungskette, Personalschulung. Sie sind höher und die eigentlichen Werterzeuger.</w:t>
      </w:r>
    </w:p>
    <w:p>
      <w:pPr>
        <w:pStyle w:val="ListParagraph"/>
        <w:numPr>
          <w:ilvl w:val="0"/>
          <w:numId w:val="2"/>
        </w:numPr>
        <w:spacing w:after="70" w:line="290"/>
        <w:jc w:val="left"/>
      </w:pPr>
      <w:r>
        <w:rPr>
          <w:rFonts w:ascii="Aptos" w:cs="Aptos" w:eastAsia="Aptos" w:hAnsi="Aptos"/>
          <w:b/>
          <w:bCs/>
          <w:color w:val="1A1A1A"/>
          <w:sz w:val="21"/>
          <w:szCs w:val="21"/>
        </w:rPr>
        <w:t xml:space="preserve">Fünf Rückflussarten:</w:t>
      </w:r>
      <w:r>
        <w:rPr>
          <w:rFonts w:ascii="Aptos" w:cs="Aptos" w:eastAsia="Aptos" w:hAnsi="Aptos"/>
          <w:color w:val="1A1A1A"/>
          <w:sz w:val="21"/>
          <w:szCs w:val="21"/>
        </w:rPr>
        <w:t xml:space="preserve"> Marktzugang, Kapitalkosten-Differenzial, Risikoreduzierung, operative Effizienz, patrimonialer Positionierungswert. Einige sind in Geld messbar, andere nicht.</w:t>
      </w:r>
    </w:p>
    <w:p>
      <w:pPr>
        <w:spacing w:after="140" w:before="0" w:line="300"/>
        <w:jc w:val="both"/>
      </w:pPr>
      <w:r>
        <w:rPr>
          <w:rFonts w:ascii="Aptos" w:cs="Aptos" w:eastAsia="Aptos" w:hAnsi="Aptos"/>
          <w:color w:val="1A1A1A"/>
          <w:sz w:val="21"/>
          <w:szCs w:val="21"/>
        </w:rPr>
        <w:t xml:space="preserve">Eine einzige Payback-Zahl verzerrt das Bild. Die Rückflüsse setzen zeitversetzt ein: Im ersten Jahr fällt nur ein Teil an, die Effizienz reift über drei bis fünf Jahre. Der Rahmen rechnet deshalb Jahr für Jahr und weist nicht Quantifiziertes gesondert aus.</w:t>
      </w:r>
    </w:p>
    <w:p>
      <w:pPr>
        <w:keepNext/>
        <w:spacing w:after="120" w:before="280"/>
      </w:pPr>
      <w:r>
        <w:rPr>
          <w:rFonts w:ascii="Aptos" w:cs="Aptos" w:eastAsia="Aptos" w:hAnsi="Aptos"/>
          <w:b/>
          <w:bCs/>
          <w:color w:val="8C5A2B"/>
          <w:sz w:val="26"/>
          <w:szCs w:val="26"/>
        </w:rPr>
        <w:t xml:space="preserve">B. Kostenarten und Rückflussarten</w:t>
      </w:r>
    </w:p>
    <w:p>
      <w:pPr>
        <w:keepNext/>
        <w:spacing w:after="90" w:before="200"/>
      </w:pPr>
      <w:r>
        <w:rPr>
          <w:rFonts w:ascii="Aptos" w:cs="Aptos" w:eastAsia="Aptos" w:hAnsi="Aptos"/>
          <w:b/>
          <w:bCs/>
          <w:color w:val="002060"/>
          <w:sz w:val="22"/>
          <w:szCs w:val="22"/>
        </w:rPr>
        <w:t xml:space="preserve">Kostenarten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6"/>
        <w:gridCol w:w="3815"/>
        <w:gridCol w:w="4417"/>
      </w:tblGrid>
      <w:tr>
        <w:trPr>
          <w:tblHeader/>
        </w:trPr>
        <w:tc>
          <w:tcPr>
            <w:tcW w:type="dxa" w:w="14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Block</w:t>
            </w:r>
          </w:p>
        </w:tc>
        <w:tc>
          <w:tcPr>
            <w:tcW w:type="dxa" w:w="381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Kostenart</w:t>
            </w:r>
          </w:p>
        </w:tc>
        <w:tc>
          <w:tcPr>
            <w:tcW w:type="dxa" w:w="441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Woher die Zahl kommt</w:t>
            </w:r>
          </w:p>
        </w:tc>
      </w:tr>
      <w:tr>
        <w:trPr>
          <w:cantSplit/>
        </w:trPr>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Formell</w:t>
            </w:r>
          </w:p>
        </w:tc>
        <w:tc>
          <w:tcPr>
            <w:tcW w:type="dxa" w:w="38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Begleitberatung</w:t>
            </w:r>
          </w:p>
        </w:tc>
        <w:tc>
          <w:tcPr>
            <w:tcW w:type="dxa" w:w="4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Schriftliches Angebot.</w:t>
            </w:r>
          </w:p>
        </w:tc>
      </w:tr>
      <w:tr>
        <w:trPr>
          <w:cantSplit/>
        </w:trPr>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Formell</w:t>
            </w:r>
          </w:p>
        </w:tc>
        <w:tc>
          <w:tcPr>
            <w:tcW w:type="dxa" w:w="38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Zertifizierungsaudit durch eine akkreditierte Stelle</w:t>
            </w:r>
          </w:p>
        </w:tc>
        <w:tc>
          <w:tcPr>
            <w:tcW w:type="dxa" w:w="4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Angebote akkreditierter Stellen mit Geltungsbereich IAF-Code 30.</w:t>
            </w:r>
          </w:p>
        </w:tc>
      </w:tr>
      <w:tr>
        <w:trPr>
          <w:cantSplit/>
        </w:trPr>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Formell</w:t>
            </w:r>
          </w:p>
        </w:tc>
        <w:tc>
          <w:tcPr>
            <w:tcW w:type="dxa" w:w="38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Aufrechterhaltung (Überwachungsaudits, Rezertifizierung)</w:t>
            </w:r>
          </w:p>
        </w:tc>
        <w:tc>
          <w:tcPr>
            <w:tcW w:type="dxa" w:w="4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Angebot der Stelle, Laufzeit beachten.</w:t>
            </w:r>
          </w:p>
        </w:tc>
      </w:tr>
      <w:tr>
        <w:trPr>
          <w:cantSplit/>
        </w:trPr>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Substanziell</w:t>
            </w:r>
          </w:p>
        </w:tc>
        <w:tc>
          <w:tcPr>
            <w:tcW w:type="dxa" w:w="38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Governance und Prozesse</w:t>
            </w:r>
          </w:p>
        </w:tc>
        <w:tc>
          <w:tcPr>
            <w:tcW w:type="dxa" w:w="4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Interne Stunden mal Stundensatz, externe Leistungen nach Angebot.</w:t>
            </w:r>
          </w:p>
        </w:tc>
      </w:tr>
      <w:tr>
        <w:trPr>
          <w:cantSplit/>
        </w:trPr>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Substanziell</w:t>
            </w:r>
          </w:p>
        </w:tc>
        <w:tc>
          <w:tcPr>
            <w:tcW w:type="dxa" w:w="38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Daten und Disclosure-Integration</w:t>
            </w:r>
          </w:p>
        </w:tc>
        <w:tc>
          <w:tcPr>
            <w:tcW w:type="dxa" w:w="4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Interne Stunden, gegebenenfalls Software- oder Messkosten.</w:t>
            </w:r>
          </w:p>
        </w:tc>
      </w:tr>
      <w:tr>
        <w:trPr>
          <w:cantSplit/>
        </w:trPr>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Substanziell</w:t>
            </w:r>
          </w:p>
        </w:tc>
        <w:tc>
          <w:tcPr>
            <w:tcW w:type="dxa" w:w="38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Management der Wertschöpfungskette</w:t>
            </w:r>
          </w:p>
        </w:tc>
        <w:tc>
          <w:tcPr>
            <w:tcW w:type="dxa" w:w="4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Interne Stunden, eventuelle Preisprämien an Lieferanten.</w:t>
            </w:r>
          </w:p>
        </w:tc>
      </w:tr>
      <w:tr>
        <w:trPr>
          <w:cantSplit/>
        </w:trPr>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Substanziell</w:t>
            </w:r>
          </w:p>
        </w:tc>
        <w:tc>
          <w:tcPr>
            <w:tcW w:type="dxa" w:w="38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Personalschulung</w:t>
            </w:r>
          </w:p>
        </w:tc>
        <w:tc>
          <w:tcPr>
            <w:tcW w:type="dxa" w:w="4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Schulungsstunden mal Teilnehmende mal Stundensatz.</w:t>
            </w:r>
          </w:p>
        </w:tc>
      </w:tr>
      <w:tr>
        <w:trPr>
          <w:cantSplit/>
        </w:trPr>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Substanziell</w:t>
            </w:r>
          </w:p>
        </w:tc>
        <w:tc>
          <w:tcPr>
            <w:tcW w:type="dxa" w:w="38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Spezialisierte Unterstützung für anspruchsvolle Teile</w:t>
            </w:r>
          </w:p>
        </w:tc>
        <w:tc>
          <w:tcPr>
            <w:tcW w:type="dxa" w:w="4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Angebot, nur wenn intern nicht leistbar.</w:t>
            </w:r>
          </w:p>
        </w:tc>
      </w:tr>
    </w:tbl>
    <w:p>
      <w:pPr>
        <w:spacing w:after="140"/>
      </w:pPr>
    </w:p>
    <w:p>
      <w:pPr>
        <w:keepNext/>
        <w:spacing w:after="90" w:before="200"/>
      </w:pPr>
      <w:r>
        <w:rPr>
          <w:rFonts w:ascii="Aptos" w:cs="Aptos" w:eastAsia="Aptos" w:hAnsi="Aptos"/>
          <w:b/>
          <w:bCs/>
          <w:color w:val="002060"/>
          <w:sz w:val="22"/>
          <w:szCs w:val="22"/>
        </w:rPr>
        <w:t xml:space="preserve">Rückflussarten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8"/>
        <w:gridCol w:w="4317"/>
        <w:gridCol w:w="3413"/>
      </w:tblGrid>
      <w:tr>
        <w:trPr>
          <w:tblHeader/>
        </w:trPr>
        <w:tc>
          <w:tcPr>
            <w:tcW w:type="dxa" w:w="190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Rückflussart</w:t>
            </w:r>
          </w:p>
        </w:tc>
        <w:tc>
          <w:tcPr>
            <w:tcW w:type="dxa" w:w="431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Wie das Haus schätzt</w:t>
            </w:r>
          </w:p>
        </w:tc>
        <w:tc>
          <w:tcPr>
            <w:tcW w:type="dxa" w:w="34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Wann in Geld ansetzen</w:t>
            </w:r>
          </w:p>
        </w:tc>
      </w:tr>
      <w:tr>
        <w:trPr>
          <w:cantSplit/>
        </w:trPr>
        <w:tc>
          <w:tcPr>
            <w:tcW w:type="dxa" w:w="19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Marktzugang</w:t>
            </w:r>
          </w:p>
        </w:tc>
        <w:tc>
          <w:tcPr>
            <w:tcW w:type="dxa" w:w="43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Eigenen Kundenmix prüfen: Welche Verträge verlangen die Zertifizierung oder würden verloren gehen? Umsatz mal eigene Marge.</w:t>
            </w:r>
          </w:p>
        </w:tc>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Nur bei schriftlich belegter Anforderung eines Kunden oder einer Plattform.</w:t>
            </w:r>
          </w:p>
        </w:tc>
      </w:tr>
      <w:tr>
        <w:trPr>
          <w:cantSplit/>
        </w:trPr>
        <w:tc>
          <w:tcPr>
            <w:tcW w:type="dxa" w:w="19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Kapitalkosten-Differenzial</w:t>
            </w:r>
          </w:p>
        </w:tc>
        <w:tc>
          <w:tcPr>
            <w:tcW w:type="dxa" w:w="43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Gespräch mit der eigenen Bank über Konditionen bei Zertifizierung und ESG-Disclosure.</w:t>
            </w:r>
          </w:p>
        </w:tc>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Nur bei schriftlicher Aussage der Bank. Ein Spreadnachlass allein für ISO 14001 ist nach dem Buch kein Standardprodukt.</w:t>
            </w:r>
          </w:p>
        </w:tc>
      </w:tr>
      <w:tr>
        <w:trPr>
          <w:cantSplit/>
        </w:trPr>
        <w:tc>
          <w:tcPr>
            <w:tcW w:type="dxa" w:w="19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Risikoreduzierung</w:t>
            </w:r>
          </w:p>
        </w:tc>
        <w:tc>
          <w:tcPr>
            <w:tcW w:type="dxa" w:w="43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Potenzielle jährliche Exposition gegenüber ungünstigen Umweltereignissen und Reputationsrisiken beschreiben.</w:t>
            </w:r>
          </w:p>
        </w:tc>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Gesondert ausweisen. Es misst einen nicht erlittenen Schaden.</w:t>
            </w:r>
          </w:p>
        </w:tc>
      </w:tr>
      <w:tr>
        <w:trPr>
          <w:cantSplit/>
        </w:trPr>
        <w:tc>
          <w:tcPr>
            <w:tcW w:type="dxa" w:w="19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Operative Effizienz</w:t>
            </w:r>
          </w:p>
        </w:tc>
        <w:tc>
          <w:tcPr>
            <w:tcW w:type="dxa" w:w="43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Einsparung in Prozent der vom System abgedeckten Kostenpositionen: Energie, Wasser, Abfall, Beschaffung.</w:t>
            </w:r>
          </w:p>
        </w:tc>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Ab Messung gegen das Basisjahr, progressiv über drei bis fünf Jahre.</w:t>
            </w:r>
          </w:p>
        </w:tc>
      </w:tr>
      <w:tr>
        <w:trPr>
          <w:cantSplit/>
        </w:trPr>
        <w:tc>
          <w:tcPr>
            <w:tcW w:type="dxa" w:w="19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Patrimonialer Wert</w:t>
            </w:r>
          </w:p>
        </w:tc>
        <w:tc>
          <w:tcPr>
            <w:tcW w:type="dxa" w:w="43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Wirkung bei Refinanzierung, Generationenwechsel, Transaktion.</w:t>
            </w:r>
          </w:p>
        </w:tc>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In der Regel nicht in Geld, nur qualitativ.</w:t>
            </w:r>
          </w:p>
        </w:tc>
      </w:tr>
    </w:tbl>
    <w:p>
      <w:pPr>
        <w:spacing w:after="140"/>
      </w:pPr>
    </w:p>
    <w:p>
      <w:pPr>
        <w:spacing w:after="140" w:before="0" w:line="300"/>
        <w:jc w:val="both"/>
      </w:pPr>
      <w:r>
        <w:rPr>
          <w:rFonts w:ascii="Aptos" w:cs="Aptos" w:eastAsia="Aptos" w:hAnsi="Aptos"/>
          <w:b/>
          <w:bCs/>
          <w:color w:val="1A1A1A"/>
          <w:sz w:val="21"/>
          <w:szCs w:val="21"/>
        </w:rPr>
        <w:t xml:space="preserve">Preis der Nicht-Zertifizierung.</w:t>
      </w:r>
      <w:r>
        <w:rPr>
          <w:rFonts w:ascii="Aptos" w:cs="Aptos" w:eastAsia="Aptos" w:hAnsi="Aptos"/>
          <w:color w:val="1A1A1A"/>
          <w:sz w:val="21"/>
          <w:szCs w:val="21"/>
        </w:rPr>
        <w:t xml:space="preserve"> Das Buch verlangt, ihn symmetrisch zu bewerten: Vertragsverlust, schlechtere Finanzierungskonditionen, Ausschluss aus Partnerschaften, Reputations- und Haftungsrisiken. Zertifikate nach der Ausgabe 2015 verlieren ihre Gültigkeit am 30. April 2029.</w:t>
      </w:r>
    </w:p>
    <w:p>
      <w:pPr>
        <w:keepNext/>
        <w:spacing w:after="120" w:before="280"/>
      </w:pPr>
      <w:r>
        <w:rPr>
          <w:rFonts w:ascii="Aptos" w:cs="Aptos" w:eastAsia="Aptos" w:hAnsi="Aptos"/>
          <w:b/>
          <w:bCs/>
          <w:color w:val="8C5A2B"/>
          <w:sz w:val="26"/>
          <w:szCs w:val="26"/>
        </w:rPr>
        <w:t xml:space="preserve">C. Beispielrechnung mit den Modellannahmen des Buches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Modellannahmen </w:t>
            </w:r>
            <w:r>
              <w:rPr>
                <w:rFonts w:ascii="Aptos" w:cs="Aptos" w:eastAsia="Aptos" w:hAnsi="Aptos"/>
                <w:color w:val="1A1A1A"/>
                <w:sz w:val="21"/>
                <w:szCs w:val="21"/>
              </w:rPr>
              <w:t xml:space="preserve">Alle Beträge in diesem Abschnitt stammen aus dem Modellfall des Buches: Vier-Sterne-Hotel, neunzig Zimmer, Jahresumsatz in der Größenordnung von 4,5 Millionen Euro. Das Buch nennt sie ausdrücklich Modellannahmen, keine belegten Branchenwerte.</w:t>
            </w:r>
          </w:p>
        </w:tc>
      </w:tr>
    </w:tbl>
    <w:p>
      <w:pPr>
        <w:spacing w:after="120"/>
      </w:pPr>
    </w:p>
    <w:p>
      <w:pPr>
        <w:keepNext/>
        <w:spacing w:after="90" w:before="160"/>
      </w:pPr>
      <w:r>
        <w:rPr>
          <w:rFonts w:ascii="Aptos" w:cs="Aptos" w:eastAsia="Aptos" w:hAnsi="Aptos"/>
          <w:b/>
          <w:bCs/>
          <w:color w:val="5A5A5A"/>
          <w:sz w:val="18"/>
          <w:szCs w:val="18"/>
        </w:rPr>
        <w:t xml:space="preserve">Kosten nach Modellannahmen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13"/>
        <w:gridCol w:w="2209"/>
        <w:gridCol w:w="1908"/>
        <w:gridCol w:w="2108"/>
      </w:tblGrid>
      <w:tr>
        <w:trPr>
          <w:tblHeader/>
        </w:trPr>
        <w:tc>
          <w:tcPr>
            <w:tcW w:type="dxa" w:w="34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Position (Modellannahme)</w:t>
            </w:r>
          </w:p>
        </w:tc>
        <w:tc>
          <w:tcPr>
            <w:tcW w:type="dxa" w:w="220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Jahr 1 und 2 zusammen</w:t>
            </w:r>
          </w:p>
        </w:tc>
        <w:tc>
          <w:tcPr>
            <w:tcW w:type="dxa" w:w="190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Jahr 3</w:t>
            </w:r>
          </w:p>
        </w:tc>
        <w:tc>
          <w:tcPr>
            <w:tcW w:type="dxa" w:w="210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Summe drei Jahre</w:t>
            </w:r>
          </w:p>
        </w:tc>
      </w:tr>
      <w:tr>
        <w:trPr>
          <w:cantSplit/>
        </w:trPr>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Formelle Kosten</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28.000 €</w:t>
            </w:r>
          </w:p>
        </w:tc>
        <w:tc>
          <w:tcPr>
            <w:tcW w:type="dxa" w:w="19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4.000 bis 6.000 €</w:t>
            </w:r>
          </w:p>
        </w:tc>
        <w:tc>
          <w:tcPr>
            <w:tcW w:type="dxa" w:w="21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32.000 bis 34.000 €</w:t>
            </w:r>
          </w:p>
        </w:tc>
      </w:tr>
      <w:tr>
        <w:trPr>
          <w:cantSplit/>
        </w:trPr>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Substanzielle Systemkosten</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35.000 bis 45.000 €</w:t>
            </w:r>
          </w:p>
        </w:tc>
        <w:tc>
          <w:tcPr>
            <w:tcW w:type="dxa" w:w="19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8.000 bis 12.000 €</w:t>
            </w:r>
          </w:p>
        </w:tc>
        <w:tc>
          <w:tcPr>
            <w:tcW w:type="dxa" w:w="21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43.000 bis 57.000 €</w:t>
            </w:r>
          </w:p>
        </w:tc>
      </w:tr>
      <w:tr>
        <w:trPr>
          <w:cantSplit/>
        </w:trPr>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Kosten gesamt</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63.000 bis 73.000 €</w:t>
            </w:r>
          </w:p>
        </w:tc>
        <w:tc>
          <w:tcPr>
            <w:tcW w:type="dxa" w:w="19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12.000 bis 18.000 €</w:t>
            </w:r>
          </w:p>
        </w:tc>
        <w:tc>
          <w:tcPr>
            <w:tcW w:type="dxa" w:w="21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75.000 bis 91.000 €</w:t>
            </w:r>
          </w:p>
        </w:tc>
      </w:tr>
    </w:tbl>
    <w:p>
      <w:pPr>
        <w:spacing w:after="140"/>
      </w:pPr>
    </w:p>
    <w:p>
      <w:pPr>
        <w:keepNext/>
        <w:spacing w:after="90" w:before="160"/>
      </w:pPr>
      <w:r>
        <w:rPr>
          <w:rFonts w:ascii="Aptos" w:cs="Aptos" w:eastAsia="Aptos" w:hAnsi="Aptos"/>
          <w:b/>
          <w:bCs/>
          <w:color w:val="5A5A5A"/>
          <w:sz w:val="18"/>
          <w:szCs w:val="18"/>
        </w:rPr>
        <w:t xml:space="preserve">Rückflüsse nach Modellannahmen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10"/>
        <w:gridCol w:w="2610"/>
        <w:gridCol w:w="4418"/>
      </w:tblGrid>
      <w:tr>
        <w:trPr>
          <w:tblHeader/>
        </w:trPr>
        <w:tc>
          <w:tcPr>
            <w:tcW w:type="dxa" w:w="26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Rückflussart (Modellannahme)</w:t>
            </w:r>
          </w:p>
        </w:tc>
        <w:tc>
          <w:tcPr>
            <w:tcW w:type="dxa" w:w="26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Jährlich bei normalem Betrieb</w:t>
            </w:r>
          </w:p>
        </w:tc>
        <w:tc>
          <w:tcPr>
            <w:tcW w:type="dxa" w:w="441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Hinweis</w:t>
            </w:r>
          </w:p>
        </w:tc>
      </w:tr>
      <w:tr>
        <w:trPr>
          <w:cantSplit/>
        </w:trPr>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Marktzugang</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25.000 bis 40.000 € Mehrwert</w:t>
            </w:r>
          </w:p>
        </w:tc>
        <w:tc>
          <w:tcPr>
            <w:tcW w:type="dxa" w:w="44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Aus 100.000 bis 150.000 € inkrementellem oder geschütztem Umsatz.</w:t>
            </w:r>
          </w:p>
        </w:tc>
      </w:tr>
      <w:tr>
        <w:trPr>
          <w:cantSplit/>
        </w:trPr>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Kapitalkosten-Differenzial</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5.000 bis 8.000 €</w:t>
            </w:r>
          </w:p>
        </w:tc>
        <w:tc>
          <w:tcPr>
            <w:tcW w:type="dxa" w:w="44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25 bis 35 Basispunkte auf rund 2,3 Mio. € Bankschuld.</w:t>
            </w:r>
          </w:p>
        </w:tc>
      </w:tr>
      <w:tr>
        <w:trPr>
          <w:cantSplit/>
        </w:trPr>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Operative Effizienz</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8.000 bis 15.000 €</w:t>
            </w:r>
          </w:p>
        </w:tc>
        <w:tc>
          <w:tcPr>
            <w:tcW w:type="dxa" w:w="44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1 bis 2 Prozent der abgedeckten Kostenpositionen, reift über drei bis fünf Jahre.</w:t>
            </w:r>
          </w:p>
        </w:tc>
      </w:tr>
      <w:tr>
        <w:trPr>
          <w:cantSplit/>
        </w:trPr>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Risikoreduzierung</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im Buch nicht beziffert</w:t>
            </w:r>
          </w:p>
        </w:tc>
        <w:tc>
          <w:tcPr>
            <w:tcW w:type="dxa" w:w="44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Exposition 30.000 bis 60.000 € jährlich; der vermiedene Anteil ist nicht angegeben.</w:t>
            </w:r>
          </w:p>
        </w:tc>
      </w:tr>
      <w:tr>
        <w:trPr>
          <w:cantSplit/>
        </w:trPr>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Patrimonialer Wert</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nicht beziffert</w:t>
            </w:r>
          </w:p>
        </w:tc>
        <w:tc>
          <w:tcPr>
            <w:tcW w:type="dxa" w:w="44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Nur qualitativ.</w:t>
            </w:r>
          </w:p>
        </w:tc>
      </w:tr>
      <w:tr>
        <w:trPr>
          <w:cantSplit/>
        </w:trPr>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Summe laut Buch</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38.000 bis 65.000 €</w:t>
            </w:r>
          </w:p>
        </w:tc>
        <w:tc>
          <w:tcPr>
            <w:tcW w:type="dxa" w:w="44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Einschließlich einer konservativen Schätzung der Risikoreduzierung.</w:t>
            </w:r>
          </w:p>
        </w:tc>
      </w:tr>
    </w:tbl>
    <w:p>
      <w:pPr>
        <w:spacing w:after="140"/>
      </w:pPr>
    </w:p>
    <w:p>
      <w:pPr>
        <w:keepNext/>
        <w:spacing w:after="90" w:before="200"/>
      </w:pPr>
      <w:r>
        <w:rPr>
          <w:rFonts w:ascii="Aptos" w:cs="Aptos" w:eastAsia="Aptos" w:hAnsi="Aptos"/>
          <w:b/>
          <w:bCs/>
          <w:color w:val="002060"/>
          <w:sz w:val="22"/>
          <w:szCs w:val="22"/>
        </w:rPr>
        <w:t xml:space="preserve">Was sich daraus ehrlich rechnen lässt</w:t>
      </w:r>
    </w:p>
    <w:p>
      <w:pPr>
        <w:spacing w:after="140" w:before="0" w:line="300"/>
        <w:jc w:val="both"/>
      </w:pPr>
      <w:r>
        <w:rPr>
          <w:rFonts w:ascii="Aptos" w:cs="Aptos" w:eastAsia="Aptos" w:hAnsi="Aptos"/>
          <w:color w:val="1A1A1A"/>
          <w:sz w:val="21"/>
          <w:szCs w:val="21"/>
        </w:rPr>
        <w:t xml:space="preserve">Das Buch gibt keine Anlaufkurve der Rückflüsse an. Der Rahmen rechnet deshalb eine Schwelle statt eines Paybacks. Die Frage lautet: Welcher Anteil der jährlichen Rückflüsse bei normalem Betrieb muss im Mittel der drei Jahre erreicht werden, damit die Kosten gedeckt sind?</w:t>
      </w:r>
    </w:p>
    <w:p>
      <w:pPr>
        <w:pStyle w:val="ListParagraph"/>
        <w:numPr>
          <w:ilvl w:val="0"/>
          <w:numId w:val="2"/>
        </w:numPr>
        <w:spacing w:after="70" w:line="290"/>
        <w:jc w:val="left"/>
      </w:pPr>
      <w:r>
        <w:rPr>
          <w:rFonts w:ascii="Aptos" w:cs="Aptos" w:eastAsia="Aptos" w:hAnsi="Aptos"/>
          <w:color w:val="1A1A1A"/>
          <w:sz w:val="21"/>
          <w:szCs w:val="21"/>
        </w:rPr>
        <w:t xml:space="preserve">Günstigste Kombination: 75.000 € Kosten geteilt durch dreimal 65.000 € ergibt rund 38 Prozent.</w:t>
      </w:r>
    </w:p>
    <w:p>
      <w:pPr>
        <w:pStyle w:val="ListParagraph"/>
        <w:numPr>
          <w:ilvl w:val="0"/>
          <w:numId w:val="2"/>
        </w:numPr>
        <w:spacing w:after="70" w:line="290"/>
        <w:jc w:val="left"/>
      </w:pPr>
      <w:r>
        <w:rPr>
          <w:rFonts w:ascii="Aptos" w:cs="Aptos" w:eastAsia="Aptos" w:hAnsi="Aptos"/>
          <w:color w:val="1A1A1A"/>
          <w:sz w:val="21"/>
          <w:szCs w:val="21"/>
        </w:rPr>
        <w:t xml:space="preserve">Ungünstigste Kombination: 91.000 € Kosten geteilt durch dreimal 38.000 € ergibt rund 80 Prozent.</w:t>
      </w:r>
    </w:p>
    <w:p>
      <w:pPr>
        <w:spacing w:after="140" w:before="0" w:line="300"/>
        <w:jc w:val="both"/>
      </w:pPr>
      <w:r>
        <w:rPr>
          <w:rFonts w:ascii="Aptos" w:cs="Aptos" w:eastAsia="Aptos" w:hAnsi="Aptos"/>
          <w:color w:val="1A1A1A"/>
          <w:sz w:val="21"/>
          <w:szCs w:val="21"/>
        </w:rPr>
        <w:t xml:space="preserve">Liegt der realistische Anlauf des eigenen Hauses über dieser Schwelle, decken die Rückflüsse die Kosten innerhalb von drei Jahren. Das Ergebnis gilt nur für die Modellannahmen. Das eigene Haus setzt seine eigenen Zahlen ein.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Prüfpunkt Doppelzählung </w:t>
            </w:r>
            <w:r>
              <w:rPr>
                <w:rFonts w:ascii="Aptos" w:cs="Aptos" w:eastAsia="Aptos" w:hAnsi="Aptos"/>
                <w:color w:val="1A1A1A"/>
                <w:sz w:val="21"/>
                <w:szCs w:val="21"/>
              </w:rPr>
              <w:t xml:space="preserve">Im Modellfall enthalten die 28.000 € laut Buch bereits eine «dreijährige Aufrechterhaltung». Ab dem dritten Jahr kommen trotzdem 4.000 bis 6.000 € Aufrechterhaltung hinzu. Im eigenen Angebot prüfen, ob das dritte Jahr schon enthalten ist. Sonst wird doppelt gezählt.</w:t>
            </w:r>
          </w:p>
        </w:tc>
      </w:tr>
    </w:tbl>
    <w:p>
      <w:pPr>
        <w:spacing w:after="120"/>
      </w:pPr>
    </w:p>
    <w:p>
      <w:pPr>
        <w:keepNext/>
        <w:spacing w:after="120" w:before="280"/>
      </w:pPr>
      <w:r>
        <w:rPr>
          <w:rFonts w:ascii="Aptos" w:cs="Aptos" w:eastAsia="Aptos" w:hAnsi="Aptos"/>
          <w:b/>
          <w:bCs/>
          <w:color w:val="8C5A2B"/>
          <w:sz w:val="26"/>
          <w:szCs w:val="26"/>
        </w:rPr>
        <w:t xml:space="preserve">D. Arbeitsblatt: Kosten und Rückflüsse des eigenen Hauses</w:t>
      </w:r>
    </w:p>
    <w:p>
      <w:pPr>
        <w:spacing w:after="140" w:before="0" w:line="300"/>
        <w:jc w:val="both"/>
      </w:pPr>
      <w:r>
        <w:rPr>
          <w:rFonts w:ascii="Aptos" w:cs="Aptos" w:eastAsia="Aptos" w:hAnsi="Aptos"/>
          <w:color w:val="1A1A1A"/>
          <w:sz w:val="21"/>
          <w:szCs w:val="21"/>
        </w:rPr>
        <w:t xml:space="preserve">Jede Zahl als </w:t>
      </w:r>
      <w:r>
        <w:rPr>
          <w:rFonts w:ascii="Aptos" w:cs="Aptos" w:eastAsia="Aptos" w:hAnsi="Aptos"/>
          <w:b/>
          <w:bCs/>
          <w:color w:val="1A1A1A"/>
          <w:sz w:val="21"/>
          <w:szCs w:val="21"/>
        </w:rPr>
        <w:t xml:space="preserve">I</w:t>
      </w:r>
      <w:r>
        <w:rPr>
          <w:rFonts w:ascii="Aptos" w:cs="Aptos" w:eastAsia="Aptos" w:hAnsi="Aptos"/>
          <w:color w:val="1A1A1A"/>
          <w:sz w:val="21"/>
          <w:szCs w:val="21"/>
        </w:rPr>
        <w:t xml:space="preserve"> (Ist, belegt) oder </w:t>
      </w:r>
      <w:r>
        <w:rPr>
          <w:rFonts w:ascii="Aptos" w:cs="Aptos" w:eastAsia="Aptos" w:hAnsi="Aptos"/>
          <w:b/>
          <w:bCs/>
          <w:color w:val="1A1A1A"/>
          <w:sz w:val="21"/>
          <w:szCs w:val="21"/>
        </w:rPr>
        <w:t xml:space="preserve">A</w:t>
      </w:r>
      <w:r>
        <w:rPr>
          <w:rFonts w:ascii="Aptos" w:cs="Aptos" w:eastAsia="Aptos" w:hAnsi="Aptos"/>
          <w:color w:val="1A1A1A"/>
          <w:sz w:val="21"/>
          <w:szCs w:val="21"/>
        </w:rPr>
        <w:t xml:space="preserve"> (Annahme) kennzeichnen. Für jede Annahme die Grundlage in der Spalte Beleg nennen.</w:t>
      </w:r>
    </w:p>
    <w:p>
      <w:pPr>
        <w:keepNext/>
        <w:spacing w:after="90" w:before="160"/>
      </w:pPr>
      <w:r>
        <w:rPr>
          <w:rFonts w:ascii="Aptos" w:cs="Aptos" w:eastAsia="Aptos" w:hAnsi="Aptos"/>
          <w:b/>
          <w:bCs/>
          <w:color w:val="5A5A5A"/>
          <w:sz w:val="18"/>
          <w:szCs w:val="18"/>
        </w:rPr>
        <w:t xml:space="preserve">D1 Kosten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12"/>
        <w:gridCol w:w="1104"/>
        <w:gridCol w:w="1104"/>
        <w:gridCol w:w="1104"/>
        <w:gridCol w:w="703"/>
        <w:gridCol w:w="2611"/>
      </w:tblGrid>
      <w:tr>
        <w:trPr>
          <w:tblHeader/>
        </w:trPr>
        <w:tc>
          <w:tcPr>
            <w:tcW w:type="dxa" w:w="30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Kostenart</w:t>
            </w:r>
          </w:p>
        </w:tc>
        <w:tc>
          <w:tcPr>
            <w:tcW w:type="dxa" w:w="11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Jahr 1</w:t>
            </w:r>
          </w:p>
        </w:tc>
        <w:tc>
          <w:tcPr>
            <w:tcW w:type="dxa" w:w="11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Jahr 2</w:t>
            </w:r>
          </w:p>
        </w:tc>
        <w:tc>
          <w:tcPr>
            <w:tcW w:type="dxa" w:w="11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Jahr 3</w:t>
            </w:r>
          </w:p>
        </w:tc>
        <w:tc>
          <w:tcPr>
            <w:tcW w:type="dxa" w:w="70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I/A</w:t>
            </w:r>
          </w:p>
        </w:tc>
        <w:tc>
          <w:tcPr>
            <w:tcW w:type="dxa" w:w="261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Beleg</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Begleitberatung</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Zertifizierungsaudit</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Aufrechterhaltung</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Governance und Prozesse</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Daten und Disclosure-Integration</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Wertschöpfungskette</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Personalschulung</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Interne Personalzeit</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Sonstiges</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Summe Kosten</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160"/>
      </w:pPr>
      <w:r>
        <w:rPr>
          <w:rFonts w:ascii="Aptos" w:cs="Aptos" w:eastAsia="Aptos" w:hAnsi="Aptos"/>
          <w:b/>
          <w:bCs/>
          <w:color w:val="5A5A5A"/>
          <w:sz w:val="18"/>
          <w:szCs w:val="18"/>
        </w:rPr>
        <w:t xml:space="preserve">D2 Rückflüsse in Geld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12"/>
        <w:gridCol w:w="1104"/>
        <w:gridCol w:w="1104"/>
        <w:gridCol w:w="1104"/>
        <w:gridCol w:w="703"/>
        <w:gridCol w:w="2611"/>
      </w:tblGrid>
      <w:tr>
        <w:trPr>
          <w:tblHeader/>
        </w:trPr>
        <w:tc>
          <w:tcPr>
            <w:tcW w:type="dxa" w:w="30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Rückflussart</w:t>
            </w:r>
          </w:p>
        </w:tc>
        <w:tc>
          <w:tcPr>
            <w:tcW w:type="dxa" w:w="11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Jahr 1</w:t>
            </w:r>
          </w:p>
        </w:tc>
        <w:tc>
          <w:tcPr>
            <w:tcW w:type="dxa" w:w="11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Jahr 2</w:t>
            </w:r>
          </w:p>
        </w:tc>
        <w:tc>
          <w:tcPr>
            <w:tcW w:type="dxa" w:w="11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Jahr 3</w:t>
            </w:r>
          </w:p>
        </w:tc>
        <w:tc>
          <w:tcPr>
            <w:tcW w:type="dxa" w:w="70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I/A</w:t>
            </w:r>
          </w:p>
        </w:tc>
        <w:tc>
          <w:tcPr>
            <w:tcW w:type="dxa" w:w="261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Beleg</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Marktzugang (Mehrwert, nicht Umsatz)</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Kapitalkosten-Differenzial</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Operative Effizienz</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Risikoreduzierung (gesondert)</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Summe quantifizierte Rückflüsse</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160"/>
      </w:pPr>
      <w:r>
        <w:rPr>
          <w:rFonts w:ascii="Aptos" w:cs="Aptos" w:eastAsia="Aptos" w:hAnsi="Aptos"/>
          <w:b/>
          <w:bCs/>
          <w:color w:val="5A5A5A"/>
          <w:sz w:val="18"/>
          <w:szCs w:val="18"/>
        </w:rPr>
        <w:t xml:space="preserve">D3 Saldo über drei Jahre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13"/>
        <w:gridCol w:w="1506"/>
        <w:gridCol w:w="1506"/>
        <w:gridCol w:w="1506"/>
        <w:gridCol w:w="1707"/>
      </w:tblGrid>
      <w:tr>
        <w:trPr>
          <w:tblHeader/>
        </w:trPr>
        <w:tc>
          <w:tcPr>
            <w:tcW w:type="dxa" w:w="34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Zeile</w:t>
            </w:r>
          </w:p>
        </w:tc>
        <w:tc>
          <w:tcPr>
            <w:tcW w:type="dxa" w:w="1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Jahr 1</w:t>
            </w:r>
          </w:p>
        </w:tc>
        <w:tc>
          <w:tcPr>
            <w:tcW w:type="dxa" w:w="1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Jahr 2</w:t>
            </w:r>
          </w:p>
        </w:tc>
        <w:tc>
          <w:tcPr>
            <w:tcW w:type="dxa" w:w="1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Jahr 3</w:t>
            </w:r>
          </w:p>
        </w:tc>
        <w:tc>
          <w:tcPr>
            <w:tcW w:type="dxa" w:w="170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Kumuliert</w:t>
            </w:r>
          </w:p>
        </w:tc>
      </w:tr>
      <w:tr>
        <w:trPr>
          <w:cantSplit/>
        </w:trPr>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Rückflüsse ohne Risikoreduzierung</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minus Kosten</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Saldo</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Saldo mit Risikoreduzierung</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160"/>
      </w:pPr>
      <w:r>
        <w:rPr>
          <w:rFonts w:ascii="Aptos" w:cs="Aptos" w:eastAsia="Aptos" w:hAnsi="Aptos"/>
          <w:b/>
          <w:bCs/>
          <w:color w:val="5A5A5A"/>
          <w:sz w:val="18"/>
          <w:szCs w:val="18"/>
        </w:rPr>
        <w:t xml:space="preserve">D4 Qualitative Dimensionen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12"/>
        <w:gridCol w:w="6626"/>
      </w:tblGrid>
      <w:tr>
        <w:trPr>
          <w:tblHeader/>
        </w:trPr>
        <w:tc>
          <w:tcPr>
            <w:tcW w:type="dxa" w:w="30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Nicht in Geld erfasst</w:t>
            </w:r>
          </w:p>
        </w:tc>
        <w:tc>
          <w:tcPr>
            <w:tcW w:type="dxa" w:w="662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Beschreibung für das eigene Haus</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Patrimonialer Wert</w:t>
            </w:r>
          </w:p>
        </w:tc>
        <w:tc>
          <w:tcPr>
            <w:tcW w:type="dxa" w:w="6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Preis der Nicht-Zertifizierung</w:t>
            </w:r>
          </w:p>
        </w:tc>
        <w:tc>
          <w:tcPr>
            <w:tcW w:type="dxa" w:w="6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Weitere Wirkungen</w:t>
            </w:r>
          </w:p>
        </w:tc>
        <w:tc>
          <w:tcPr>
            <w:tcW w:type="dxa" w:w="6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Für die Bank </w:t>
            </w:r>
            <w:r>
              <w:rPr>
                <w:rFonts w:ascii="Aptos" w:cs="Aptos" w:eastAsia="Aptos" w:hAnsi="Aptos"/>
                <w:color w:val="1A1A1A"/>
                <w:sz w:val="21"/>
                <w:szCs w:val="21"/>
              </w:rPr>
              <w:t xml:space="preserve">Die Bank erhält beide Ergebnisse: den Saldo mit und ohne Risikoreduzierung, dazu die Liste der Annahmen. Die methodische Sauberkeit der Bewertung ist nach dem Buch selbst ein Signal der Managementqualität.</w:t>
            </w:r>
          </w:p>
        </w:tc>
      </w:tr>
    </w:tbl>
    <w:p>
      <w:pPr>
        <w:spacing w:after="12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Das Material ersetzt nicht die ISO 14001:2026 und keine Steuer-, Finanz- oder Rechtsberatung. Es enthält keine Marktdaten. Alle Zahlen sind an das eigene Haus anzupassen und durch eigene Angebote und Belege zu ersetzen. Rechtsstand: 9. Oktober 2026.</w:t>
      </w:r>
    </w:p>
    <w:p>
      <w:pPr>
        <w:spacing w:after="140" w:before="0" w:line="300"/>
        <w:jc w:val="both"/>
      </w:pPr>
      <w:r>
        <w:rPr>
          <w:rFonts w:ascii="Aptos" w:cs="Aptos" w:eastAsia="Aptos" w:hAnsi="Aptos"/>
          <w:i/>
          <w:iCs/>
          <w:color w:val="1A1A1A"/>
          <w:sz w:val="21"/>
          <w:szCs w:val="21"/>
        </w:rPr>
        <w:t xml:space="preserve">Bezug im Buch: Band 1a, Abschnitt 1.9</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2026-10-10T03:15:23.249Z</dcterms:created>
  <dcterms:modified xsi:type="dcterms:W3CDTF">2026-10-10T03:15:23.249Z</dcterms:modified>
</cp:coreProperties>
</file>

<file path=docProps/custom.xml><?xml version="1.0" encoding="utf-8"?>
<Properties xmlns="http://schemas.openxmlformats.org/officeDocument/2006/custom-properties" xmlns:vt="http://schemas.openxmlformats.org/officeDocument/2006/docPropsVTypes"/>
</file>