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 ANHANG 1 ZU BAND 1A</w:t>
      </w:r>
    </w:p>
    <w:p>
      <w:pPr>
        <w:pStyle w:val="Heading1"/>
        <w:spacing w:after="120" w:line="360"/>
      </w:pPr>
      <w:r>
        <w:rPr>
          <w:rFonts w:ascii="Aptos" w:cs="Aptos" w:eastAsia="Aptos" w:hAnsi="Aptos"/>
          <w:b/>
          <w:bCs/>
          <w:color w:val="002060"/>
          <w:sz w:val="36"/>
          <w:szCs w:val="36"/>
        </w:rPr>
        <w:t xml:space="preserve">Dokumentierte Chronologie der Revision ISO 14001:2026</w:t>
      </w:r>
    </w:p>
    <w:p>
      <w:pPr>
        <w:spacing w:after="200"/>
      </w:pPr>
      <w:r>
        <w:rPr>
          <w:rFonts w:ascii="Aptos" w:cs="Aptos" w:eastAsia="Aptos" w:hAnsi="Aptos"/>
          <w:i/>
          <w:iCs/>
          <w:color w:val="5A5A5A"/>
          <w:sz w:val="22"/>
          <w:szCs w:val="22"/>
        </w:rPr>
        <w:t xml:space="preserve">Daten und Ereignisse, wie das Buch sie belegt, mit ihrer Bedeutung für das Hotel</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Dieser Anhang enthält nur Daten und Ereignisse, die im Buch stehen. Er ergänzt keine internen Entwurfsdokumente, Abstimmungsergebnisse oder Dokumentnummern ohne öffentlichen Beleg. So verlangt es der Hinweis zur Revisionschronologie im Buch (S. 480).</w:t>
            </w:r>
          </w:p>
        </w:tc>
      </w:tr>
    </w:tbl>
    <w:p>
      <w:pPr>
        <w:spacing w:after="120"/>
      </w:pPr>
    </w:p>
    <w:p>
      <w:pPr>
        <w:keepNext/>
        <w:spacing w:after="120" w:before="280"/>
      </w:pPr>
      <w:r>
        <w:rPr>
          <w:rFonts w:ascii="Aptos" w:cs="Aptos" w:eastAsia="Aptos" w:hAnsi="Aptos"/>
          <w:b/>
          <w:bCs/>
          <w:color w:val="8C5A2B"/>
          <w:sz w:val="26"/>
          <w:szCs w:val="26"/>
        </w:rPr>
        <w:t xml:space="preserve">A. Wie die Revision verlief</w:t>
      </w:r>
    </w:p>
    <w:p>
      <w:pPr>
        <w:spacing w:after="140" w:before="0" w:line="300"/>
        <w:jc w:val="both"/>
      </w:pPr>
      <w:r>
        <w:rPr>
          <w:rFonts w:ascii="Aptos" w:cs="Aptos" w:eastAsia="Aptos" w:hAnsi="Aptos"/>
          <w:color w:val="1A1A1A"/>
          <w:sz w:val="21"/>
          <w:szCs w:val="21"/>
        </w:rPr>
        <w:t xml:space="preserve">Die Revision lag beim Technical Committee ISO/TC 207/SC 1, Umweltmanagementsysteme. Der Weg führte über Committee Draft und Entwurf (DIS) zum Final Draft (FDIS) und zur veröffentlichten Norm.</w:t>
      </w:r>
    </w:p>
    <w:p>
      <w:pPr>
        <w:spacing w:after="140" w:before="0" w:line="300"/>
        <w:jc w:val="both"/>
      </w:pPr>
      <w:r>
        <w:rPr>
          <w:rFonts w:ascii="Aptos" w:cs="Aptos" w:eastAsia="Aptos" w:hAnsi="Aptos"/>
          <w:color w:val="1A1A1A"/>
          <w:sz w:val="21"/>
          <w:szCs w:val="21"/>
        </w:rPr>
        <w:t xml:space="preserve">Arbeitsdokumente der Phasen Working Draft und Committee Draft sind nicht öffentlich. Sie sind nur den P- und O-Mitgliedern des Komitees zugänglich. Dokumente der Phasen DIS und FDIS sind über das ISO-Portal erhältlich.</w:t>
      </w:r>
    </w:p>
    <w:p>
      <w:pPr>
        <w:spacing w:after="140" w:before="0" w:line="300"/>
        <w:jc w:val="both"/>
      </w:pPr>
      <w:r>
        <w:rPr>
          <w:rFonts w:ascii="Aptos" w:cs="Aptos" w:eastAsia="Aptos" w:hAnsi="Aptos"/>
          <w:color w:val="1A1A1A"/>
          <w:sz w:val="21"/>
          <w:szCs w:val="21"/>
        </w:rPr>
        <w:t xml:space="preserve">Die Übergangsfristen legt nicht ISO fest. Sie kommen von den Akkreditierungsstellen, international von Global ACI.</w:t>
      </w:r>
    </w:p>
    <w:p>
      <w:pPr>
        <w:keepNext/>
        <w:spacing w:after="120" w:before="280"/>
      </w:pPr>
      <w:r>
        <w:rPr>
          <w:rFonts w:ascii="Aptos" w:cs="Aptos" w:eastAsia="Aptos" w:hAnsi="Aptos"/>
          <w:b/>
          <w:bCs/>
          <w:color w:val="8C5A2B"/>
          <w:sz w:val="26"/>
          <w:szCs w:val="26"/>
        </w:rPr>
        <w:t xml:space="preserve">B. Zeitleiste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2891"/>
        <w:gridCol w:w="3277"/>
        <w:gridCol w:w="1928"/>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Ereignis</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Bedeutung für das Hotel</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Bezug im Buch</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September 2015</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ISO 14001:2015 erscheint als dritte Ausgabe.</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Grundlage der bestehenden Zertifikate. Heute nur noch historische beziehungsweise transitorische Referenz.</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Quellen und Forschungsmethodik, S. 476 bis 477</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2024</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ISO 14001:2015/Amd 1:2024 «Climate action changes»: Verweis auf den Klimawandel in 4.1 und in einer Anmerkung zu 4.2.</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Der ausdrückliche Klimabezug ist nicht neu mit 2026. Er galt schon für Systeme nach der Ausgabe 2015.</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Vorwort, S. 8; Quellen, S. 476; Abschnitt 1.2</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2024</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Committee Draft im ISO/TC 207/SC 1.</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Keine Anforderung an das Hotel. Arbeitsdokumente der Phase Committee Draft sind nicht öffentlich.</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Quellen, S. 480</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19. Juni 2025</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Laut ISO-Katalog: DIS zur Registrierung als FDIS angenommen.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Entwurfsstadium. Keine Grundlage für Zertifizierung oder Audit.</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Quellen, S. 480</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 Januar 2026</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Global ACI führt die bisherigen internationalen Aufgaben von IAF und ILAC fort.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Übergangsvorgaben kommen seither von Global ACI und den Akkreditierungsstellen. IAF-Dokumente gelten als historische oder übernommene Referenzen.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Vorwort, S. 9; Quellen, S. 480</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5. Januar 2026</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ISO/FDIS 14001 veröffentlicht, achtwöchige Abstimmung.</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Letzter Entwurf. Noch keine Zertifizierungsgrundlage.</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Quellen, S. 480</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 März 2026</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Abschluss der FDIS-Abstimmung laut ISO-Katalog.</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Kein eigener Handlungsbedarf für das Hotel.</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Quellen, S. 480</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15. April 2026</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ISO 14001:2026 erscheint als vierte Ausgabe. Sie ersetzt ISO 14001:2015 einschließlich Amd 1:2024.</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Maßgebliche Ausgabe. Am Anfang steht eine Lückenanalyse, keine Neukonzeption. Neue Systeme richten sich unmittelbar an der Ausgabe 2026 aus.</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Vorwort, S. 8 und S. 13; Abschnitt 1.2, S. 37</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10. Juli 2026 (anzuwenden seit 28. August 2026)</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Global ACI-TECH-3-001 bis -004 (M), Version 1.0: Mehrstandort, Transfer, IKT, Auditzeiten.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Betrifft Planung und Durchführung akkreditierter Audits allgemein, nicht nur ISO 14001.</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Quellen, S. 481</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 September 2026 (anzuwenden seit 14. September 2026)</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Global ACI-TECH-3-TR 2029-04-30 (M), Transition Requirements for ISO 14001:2026, Version 1.0.</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Verbindlicher Rahmen des Übergangs. Für das einzelne Zertifikat gelten zusätzlich die Vorgaben der eigenen Stelle.</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Quellen, S. 481</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Ende Oktober 2027</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Letzte Möglichkeit für Zertifizierungen nach der Ausgabe 2015.</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Ein Haus ohne Zertifikat baut sinnvollerweise gleich nach der Ausgabe 2026 auf.</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Vorwort, S. 9 und S. 13</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30. April 2029</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Ende des Übergangs. Zertifikate nach ISO 14001:2015 verlieren ihre Gültigkeit.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Spätester Termin, kein Planungstermin. Wer bis zum letzten Audit wartet, konkurriert um Auditorentermine.</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Vorwort, S. 9; Abschnitt 1.2, S. 49; Abschnitt 1.9, S. 187; Rechtsstand, S. 521</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frühe 2030er Jahre (voraussichtlich)</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Nächste Revision der ISO 14001.</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Einschätzung des Autors, kein ISO-Termin. Erst dann erscheint die nächste Aktualisierung der Schriftenreihe.</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Vorwort, S. 8</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Hinweis </w:t>
            </w:r>
            <w:r>
              <w:rPr>
                <w:rFonts w:ascii="Aptos" w:cs="Aptos" w:eastAsia="Aptos" w:hAnsi="Aptos"/>
                <w:color w:val="1A1A1A"/>
                <w:sz w:val="21"/>
                <w:szCs w:val="21"/>
              </w:rPr>
              <w:t xml:space="preserve">Die europäische und deutsche Übernahme heißt DIN EN ISO 14001:2026. Ein Datum dafür nennt das Buch nicht. Es ist am Katalog der nationalen Normungsinstitute zu prüfen.</w:t>
            </w:r>
          </w:p>
        </w:tc>
      </w:tr>
    </w:tbl>
    <w:p>
      <w:pPr>
        <w:spacing w:after="120"/>
      </w:pPr>
    </w:p>
    <w:p>
      <w:pPr>
        <w:keepNext/>
        <w:spacing w:after="120" w:before="280"/>
      </w:pPr>
      <w:r>
        <w:rPr>
          <w:rFonts w:ascii="Aptos" w:cs="Aptos" w:eastAsia="Aptos" w:hAnsi="Aptos"/>
          <w:b/>
          <w:bCs/>
          <w:color w:val="8C5A2B"/>
          <w:sz w:val="26"/>
          <w:szCs w:val="26"/>
        </w:rPr>
        <w:t xml:space="preserve">C. Was als Tatsache gilt und was nicht</w:t>
      </w:r>
    </w:p>
    <w:p>
      <w:pPr>
        <w:spacing w:after="140" w:before="0" w:line="300"/>
        <w:jc w:val="both"/>
      </w:pPr>
      <w:r>
        <w:rPr>
          <w:rFonts w:ascii="Aptos" w:cs="Aptos" w:eastAsia="Aptos" w:hAnsi="Aptos"/>
          <w:color w:val="1A1A1A"/>
          <w:sz w:val="21"/>
          <w:szCs w:val="21"/>
        </w:rPr>
        <w:t xml:space="preserve">Das Buch bezeichnet nur Angaben als überprüfte Tatsachen, für die eine konkrete öffentliche Primärquelle angegeben werden kann (Vorwort, S. 9). Daraus folgt für diese Zeitleiste:</w:t>
      </w:r>
    </w:p>
    <w:p>
      <w:pPr>
        <w:pStyle w:val="ListParagraph"/>
        <w:numPr>
          <w:ilvl w:val="0"/>
          <w:numId w:val="2"/>
        </w:numPr>
        <w:spacing w:after="70" w:line="290"/>
        <w:jc w:val="left"/>
      </w:pPr>
      <w:r>
        <w:rPr>
          <w:rFonts w:ascii="Aptos" w:cs="Aptos" w:eastAsia="Aptos" w:hAnsi="Aptos"/>
          <w:b/>
          <w:bCs/>
          <w:color w:val="1A1A1A"/>
          <w:sz w:val="21"/>
          <w:szCs w:val="21"/>
        </w:rPr>
        <w:t xml:space="preserve">Belegt über öffentliche Quellen:</w:t>
      </w:r>
      <w:r>
        <w:rPr>
          <w:rFonts w:ascii="Aptos" w:cs="Aptos" w:eastAsia="Aptos" w:hAnsi="Aptos"/>
          <w:color w:val="1A1A1A"/>
          <w:sz w:val="21"/>
          <w:szCs w:val="21"/>
        </w:rPr>
        <w:t xml:space="preserve"> Veröffentlichung der Ausgabe 2026 am 15. April 2026, FDIS-Stationen laut ISO-Katalog, Übergangsdokument von Global ACI mit dem Übergangsende 30. April 2029.</w:t>
      </w:r>
    </w:p>
    <w:p>
      <w:pPr>
        <w:pStyle w:val="ListParagraph"/>
        <w:numPr>
          <w:ilvl w:val="0"/>
          <w:numId w:val="2"/>
        </w:numPr>
        <w:spacing w:after="70" w:line="290"/>
        <w:jc w:val="left"/>
      </w:pPr>
      <w:r>
        <w:rPr>
          <w:rFonts w:ascii="Aptos" w:cs="Aptos" w:eastAsia="Aptos" w:hAnsi="Aptos"/>
          <w:b/>
          <w:bCs/>
          <w:color w:val="1A1A1A"/>
          <w:sz w:val="21"/>
          <w:szCs w:val="21"/>
        </w:rPr>
        <w:t xml:space="preserve">Nur als Station genannt:</w:t>
      </w:r>
      <w:r>
        <w:rPr>
          <w:rFonts w:ascii="Aptos" w:cs="Aptos" w:eastAsia="Aptos" w:hAnsi="Aptos"/>
          <w:color w:val="1A1A1A"/>
          <w:sz w:val="21"/>
          <w:szCs w:val="21"/>
        </w:rPr>
        <w:t xml:space="preserve"> Committee Draft (2024). Das Dokument selbst ist nicht öffentlich und wird hier nicht als Quelle geführt.</w:t>
      </w:r>
    </w:p>
    <w:p>
      <w:pPr>
        <w:pStyle w:val="ListParagraph"/>
        <w:numPr>
          <w:ilvl w:val="0"/>
          <w:numId w:val="2"/>
        </w:numPr>
        <w:spacing w:after="70" w:line="290"/>
        <w:jc w:val="left"/>
      </w:pPr>
      <w:r>
        <w:rPr>
          <w:rFonts w:ascii="Aptos" w:cs="Aptos" w:eastAsia="Aptos" w:hAnsi="Aptos"/>
          <w:b/>
          <w:bCs/>
          <w:color w:val="1A1A1A"/>
          <w:sz w:val="21"/>
          <w:szCs w:val="21"/>
        </w:rPr>
        <w:t xml:space="preserve">Einschätzung, kein Termin:</w:t>
      </w:r>
      <w:r>
        <w:rPr>
          <w:rFonts w:ascii="Aptos" w:cs="Aptos" w:eastAsia="Aptos" w:hAnsi="Aptos"/>
          <w:color w:val="1A1A1A"/>
          <w:sz w:val="21"/>
          <w:szCs w:val="21"/>
        </w:rPr>
        <w:t xml:space="preserve"> die nächste Revision in den frühen 2030er Jahren.</w:t>
      </w:r>
    </w:p>
    <w:p>
      <w:pPr>
        <w:pStyle w:val="ListParagraph"/>
        <w:numPr>
          <w:ilvl w:val="0"/>
          <w:numId w:val="2"/>
        </w:numPr>
        <w:spacing w:after="70" w:line="290"/>
        <w:jc w:val="left"/>
      </w:pPr>
      <w:r>
        <w:rPr>
          <w:rFonts w:ascii="Aptos" w:cs="Aptos" w:eastAsia="Aptos" w:hAnsi="Aptos"/>
          <w:b/>
          <w:bCs/>
          <w:color w:val="1A1A1A"/>
          <w:sz w:val="21"/>
          <w:szCs w:val="21"/>
        </w:rPr>
        <w:t xml:space="preserve">Nicht Teil dieses Anhangs:</w:t>
      </w:r>
      <w:r>
        <w:rPr>
          <w:rFonts w:ascii="Aptos" w:cs="Aptos" w:eastAsia="Aptos" w:hAnsi="Aptos"/>
          <w:color w:val="1A1A1A"/>
          <w:sz w:val="21"/>
          <w:szCs w:val="21"/>
        </w:rPr>
        <w:t xml:space="preserve"> Abstimmungsergebnisse, interne Entwurfsfassungen, Dokumentnummern ohne öffentlichen Beleg.</w:t>
      </w:r>
    </w:p>
    <w:p>
      <w:pPr>
        <w:pStyle w:val="ListParagraph"/>
        <w:numPr>
          <w:ilvl w:val="0"/>
          <w:numId w:val="2"/>
        </w:numPr>
        <w:spacing w:after="70" w:line="290"/>
        <w:jc w:val="left"/>
      </w:pPr>
      <w:r>
        <w:rPr>
          <w:rFonts w:ascii="Aptos" w:cs="Aptos" w:eastAsia="Aptos" w:hAnsi="Aptos"/>
          <w:color w:val="1A1A1A"/>
          <w:sz w:val="21"/>
          <w:szCs w:val="21"/>
        </w:rPr>
        <w:t xml:space="preserve">Die im Buch beschriebenen Änderungen sind an der veröffentlichten ISO 14001:2026 und ihren offiziellen Begleitinformationen zu prüfen.</w:t>
      </w:r>
    </w:p>
    <w:p>
      <w:pPr>
        <w:keepNext/>
        <w:spacing w:after="120" w:before="280"/>
      </w:pPr>
      <w:r>
        <w:rPr>
          <w:rFonts w:ascii="Aptos" w:cs="Aptos" w:eastAsia="Aptos" w:hAnsi="Aptos"/>
          <w:b/>
          <w:bCs/>
          <w:color w:val="8C5A2B"/>
          <w:sz w:val="26"/>
          <w:szCs w:val="26"/>
        </w:rPr>
        <w:t xml:space="preserve">D. Was das Hotel bei seiner Zertifizierungsstelle erfragt</w:t>
      </w:r>
    </w:p>
    <w:p>
      <w:pPr>
        <w:spacing w:after="140" w:before="0" w:line="300"/>
        <w:jc w:val="both"/>
      </w:pPr>
      <w:r>
        <w:rPr>
          <w:rFonts w:ascii="Aptos" w:cs="Aptos" w:eastAsia="Aptos" w:hAnsi="Aptos"/>
          <w:color w:val="1A1A1A"/>
          <w:sz w:val="21"/>
          <w:szCs w:val="21"/>
        </w:rPr>
        <w:t xml:space="preserve">Bestehende Zertifizierungen und Übergangsregelungen sind nach den aktuellen Mitteilungen der zuständigen Akkreditierungs- und Zertifizierungsstellen zu beurteilen (Vorwort, S. 12). Die folgenden Fragen ordnen, was das Buch dazu sagt.</w:t>
      </w:r>
    </w:p>
    <w:p>
      <w:pPr>
        <w:keepNext/>
        <w:spacing w:after="90" w:before="160"/>
      </w:pPr>
      <w:r>
        <w:rPr>
          <w:rFonts w:ascii="Aptos" w:cs="Aptos" w:eastAsia="Aptos" w:hAnsi="Aptos"/>
          <w:b/>
          <w:bCs/>
          <w:color w:val="5A5A5A"/>
          <w:sz w:val="18"/>
          <w:szCs w:val="18"/>
        </w:rPr>
        <w:t xml:space="preserve">Arbeitsblatt 1: Fragen und Antworten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1638"/>
        <w:gridCol w:w="2891"/>
        <w:gridCol w:w="1447"/>
      </w:tblGrid>
      <w:tr>
        <w:trPr>
          <w:tblHeader/>
        </w:trPr>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Frage an die Zertifizierungsstelle</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Bezug im Buch</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Antwort der Stelle</w:t>
            </w:r>
          </w:p>
        </w:tc>
        <w:tc>
          <w:tcPr>
            <w:tcW w:type="dxa" w:w="144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 / Quelle</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Welche Vorgaben gelten für unser Zertifikat zusätzlich zu Global ACI-TECH-3-TR?</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Quellen, S. 481</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Bis wann muss unser Übergangsaudit stattgefunden haben, damit das Zertifikat vor dem 30. April 2029 umgestellt ist?</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Abschnitt 1.2, S. 49</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Welche Termine für das Übergangsaudit sind frei? Wie früh ist zu buchen?</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Abschnitt 1.2, S. 49</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Findet das Übergangsaudit mit einem regulären Audit statt oder gesondert?</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Abschnitt 1.2, S. 46 und S. 49</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Umfasst der akkreditierte Geltungsbereich der Stelle das Gastgewerbe (IAF-Code 30)?</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Abschnitt 1.9, S. 187</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Für noch nicht zertifizierte Häuser: Bis wann nimmt die Stelle Zertifizierungen nach der Ausgabe 2015 noch an? Das Buch nennt Ende Oktober 2027.</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Vorwort, S. 9 und S. 13</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Welche Regeln gelten für die Nutzung des Zeichens der Stelle nach der Umstellung?</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Abschnitt 1.12, S. 235</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spacing w:after="140" w:before="0" w:line="300"/>
        <w:jc w:val="both"/>
      </w:pPr>
      <w:r>
        <w:rPr>
          <w:rFonts w:ascii="Aptos" w:cs="Aptos" w:eastAsia="Aptos" w:hAnsi="Aptos"/>
          <w:color w:val="1A1A1A"/>
          <w:sz w:val="21"/>
          <w:szCs w:val="21"/>
        </w:rPr>
        <w:t xml:space="preserve">Das Buch empfiehlt keine bestimmte Stelle. Die Wahl trifft das Haus. Maßgeblich ist der akkreditierte Geltungsbereich, in Deutschland über die DAkkS, in Österreich über Akkreditierung Austria, in der Schweiz über die SAS.</w:t>
      </w:r>
    </w:p>
    <w:p>
      <w:pPr>
        <w:keepNext/>
        <w:spacing w:after="120" w:before="280"/>
      </w:pPr>
      <w:r>
        <w:rPr>
          <w:rFonts w:ascii="Aptos" w:cs="Aptos" w:eastAsia="Aptos" w:hAnsi="Aptos"/>
          <w:b/>
          <w:bCs/>
          <w:color w:val="8C5A2B"/>
          <w:sz w:val="26"/>
          <w:szCs w:val="26"/>
        </w:rPr>
        <w:t xml:space="preserve">E. Eigene Übergangsplanung</w:t>
      </w:r>
    </w:p>
    <w:p>
      <w:pPr>
        <w:spacing w:after="140" w:before="0" w:line="300"/>
        <w:jc w:val="both"/>
      </w:pPr>
      <w:r>
        <w:rPr>
          <w:rFonts w:ascii="Aptos" w:cs="Aptos" w:eastAsia="Aptos" w:hAnsi="Aptos"/>
          <w:color w:val="1A1A1A"/>
          <w:sz w:val="21"/>
          <w:szCs w:val="21"/>
        </w:rPr>
        <w:t xml:space="preserve">Abschnitt 1.2 beschreibt im Fall einen Übergang in drei Phasen über vierundzwanzig Monate (S. 50). Die Monatsangaben sind das Modell des Falls, keine Vorgabe der Norm. Das Haus trägt seine eigenen Termine ein.</w:t>
      </w:r>
    </w:p>
    <w:p>
      <w:pPr>
        <w:keepNext/>
        <w:spacing w:after="90" w:before="160"/>
      </w:pPr>
      <w:r>
        <w:rPr>
          <w:rFonts w:ascii="Aptos" w:cs="Aptos" w:eastAsia="Aptos" w:hAnsi="Aptos"/>
          <w:b/>
          <w:bCs/>
          <w:color w:val="5A5A5A"/>
          <w:sz w:val="18"/>
          <w:szCs w:val="18"/>
        </w:rPr>
        <w:t xml:space="preserve">Arbeitsblatt 2: Termine des eigenen Hauses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1735"/>
        <w:gridCol w:w="1735"/>
        <w:gridCol w:w="1735"/>
      </w:tblGrid>
      <w:tr>
        <w:trPr>
          <w:tblHeader/>
        </w:trPr>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Schritt</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geplant bis</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verantwortlich</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erledigt am</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Lückenanalyse zu den tatsächlich geänderten oder präzisierten Anforderungen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Phase 1: konzeptuelle Neugestaltung (im Fall Monate 1 bis 6)</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Phase 2: operativer Aufbau (im Fall Monate 7 bis 15)</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Phase 3: Integration und Auditvorbereitung (im Fall Monate 16 bis 24)</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Vollständiges internes Audit vor dem externen Übergangsaudit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Übergangsaudit durch die Zertifizierungsstelle</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Spätester Termin laut eigener Zertifizierungsstelle</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Übergangsende laut Global ACI</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30. April 2029</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Ein Qualitätsindikator hilft mehr als ein Fertigstellungsindikator. Das Buch schlägt vor: Anteil der operativen Kernprozesse, in denen die Neuerungen im täglichen Management angekommen sind (S. 50).</w:t>
      </w: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 Chronologie ersetzt nicht den Wortlaut der ISO 14001:2026 und nicht die Übergangsdokumente von Global ACI. Sie ist keine Rechtsberatung und keine Auskunft einer Zertifizierungsstelle. Termine und Fragen sind an das eigene Haus anzupassen. Rechtsstand und Prüfstand: 9. Oktober 2026.</w:t>
      </w:r>
    </w:p>
    <w:p>
      <w:pPr>
        <w:spacing w:after="140" w:before="0" w:line="300"/>
        <w:jc w:val="both"/>
      </w:pPr>
      <w:r>
        <w:rPr>
          <w:rFonts w:ascii="Aptos" w:cs="Aptos" w:eastAsia="Aptos" w:hAnsi="Aptos"/>
          <w:i/>
          <w:iCs/>
          <w:color w:val="1A1A1A"/>
          <w:sz w:val="21"/>
          <w:szCs w:val="21"/>
        </w:rPr>
        <w:t xml:space="preserve">Bezug im Buch: Band 1a, Vorwort; Abschnitt 1.2; Quellen und Forschungsmethodik, Teil I, Nr. 2 und 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2026-10-10T03:14:48.090Z</dcterms:created>
  <dcterms:modified xsi:type="dcterms:W3CDTF">2026-10-10T03:14:48.090Z</dcterms:modified>
</cp:coreProperties>
</file>

<file path=docProps/custom.xml><?xml version="1.0" encoding="utf-8"?>
<Properties xmlns="http://schemas.openxmlformats.org/officeDocument/2006/custom-properties" xmlns:vt="http://schemas.openxmlformats.org/officeDocument/2006/docPropsVTypes"/>
</file>