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rFonts w:ascii="Aptos" w:cs="Aptos" w:eastAsia="Aptos" w:hAnsi="Aptos"/>
          <w:color w:val="5A5A5A"/>
          <w:sz w:val="18"/>
          <w:szCs w:val="18"/>
        </w:rPr>
        <w:t xml:space="preserve">Das Steuer und die Lupe · Band 1a · ISO 14001:2026</w:t>
      </w:r>
    </w:p>
    <w:p>
      <w:pPr>
        <w:spacing w:after="200"/>
      </w:pPr>
      <w:r>
        <w:rPr>
          <w:rFonts w:ascii="Aptos" w:cs="Aptos" w:eastAsia="Aptos" w:hAnsi="Aptos"/>
          <w:b/>
          <w:bCs/>
          <w:color w:val="8C5A2B"/>
          <w:sz w:val="18"/>
          <w:szCs w:val="18"/>
        </w:rPr>
        <w:t xml:space="preserve">ONLINE-MATERIAL · ANHANG 2 ZU BAND 1A</w:t>
      </w:r>
    </w:p>
    <w:p>
      <w:pPr>
        <w:pStyle w:val="Heading1"/>
        <w:spacing w:after="120" w:line="360"/>
      </w:pPr>
      <w:r>
        <w:rPr>
          <w:rFonts w:ascii="Aptos" w:cs="Aptos" w:eastAsia="Aptos" w:hAnsi="Aptos"/>
          <w:b/>
          <w:bCs/>
          <w:color w:val="002060"/>
          <w:sz w:val="36"/>
          <w:szCs w:val="36"/>
        </w:rPr>
        <w:t xml:space="preserve">Redaktionelle Aktualisierungskriterien der Schriftenreihe</w:t>
      </w:r>
    </w:p>
    <w:p>
      <w:pPr>
        <w:spacing w:after="200"/>
      </w:pPr>
      <w:r>
        <w:rPr>
          <w:rFonts w:ascii="Aptos" w:cs="Aptos" w:eastAsia="Aptos" w:hAnsi="Aptos"/>
          <w:i/>
          <w:iCs/>
          <w:color w:val="5A5A5A"/>
          <w:sz w:val="22"/>
          <w:szCs w:val="22"/>
        </w:rPr>
        <w:t xml:space="preserve">Wann eine neue Ausgabe, wann ein Errata corrige, wann ein Hinweis auf der Plattform</w:t>
      </w:r>
    </w:p>
    <w:p>
      <w:pPr>
        <w:pBdr>
          <w:bottom w:val="single" w:color="C9BBA6" w:sz="6" w:space="4"/>
        </w:pBdr>
        <w:spacing w:after="240"/>
      </w:pPr>
      <w:r>
        <w:rPr>
          <w:rFonts w:ascii="Aptos" w:cs="Aptos" w:eastAsia="Aptos" w:hAnsi="Aptos"/>
          <w:color w:val="5A5A5A"/>
          <w:sz w:val="17"/>
          <w:szCs w:val="17"/>
        </w:rPr>
        <w:t xml:space="preserve">Stand: 9. Oktober 2026 · buecher.effedore.com</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none" w:color="FFFFFF" w:sz="0"/>
              <w:left w:val="single" w:color="8C5A2B" w:sz="24"/>
              <w:bottom w:val="none" w:color="FFFFFF" w:sz="0"/>
              <w:right w:val="none" w:color="FFFFFF" w:sz="0"/>
            </w:tcBorders>
            <w:shd w:fill="EFE7DC" w:color="auto" w:val="clear"/>
            <w:tcMar>
              <w:top w:type="dxa" w:w="100"/>
              <w:left w:type="dxa" w:w="180"/>
              <w:bottom w:type="dxa" w:w="100"/>
              <w:right w:type="dxa" w:w="160"/>
            </w:tcMar>
          </w:tcPr>
          <w:p>
            <w:pPr>
              <w:spacing w:after="0" w:line="300"/>
            </w:pPr>
            <w:r>
              <w:rPr>
                <w:rFonts w:ascii="Aptos" w:cs="Aptos" w:eastAsia="Aptos" w:hAnsi="Aptos"/>
                <w:b/>
                <w:bCs/>
                <w:color w:val="8C5A2B"/>
                <w:sz w:val="18"/>
                <w:szCs w:val="18"/>
              </w:rPr>
              <w:t xml:space="preserve">Zu diesem Material </w:t>
            </w:r>
            <w:r>
              <w:rPr>
                <w:rFonts w:ascii="Aptos" w:cs="Aptos" w:eastAsia="Aptos" w:hAnsi="Aptos"/>
                <w:color w:val="1A1A1A"/>
                <w:sz w:val="21"/>
                <w:szCs w:val="21"/>
              </w:rPr>
              <w:t xml:space="preserve">Dieser Anhang ordnet, was das Buch selbst über Aktualisierungen sagt. Er fügt keine neuen Zusagen hinzu. Jede Regel trägt ihren Bezug im Buch.</w:t>
            </w:r>
          </w:p>
        </w:tc>
      </w:tr>
    </w:tbl>
    <w:p>
      <w:pPr>
        <w:spacing w:after="120"/>
      </w:pPr>
    </w:p>
    <w:p>
      <w:pPr>
        <w:keepNext/>
        <w:spacing w:after="120" w:before="280"/>
      </w:pPr>
      <w:r>
        <w:rPr>
          <w:rFonts w:ascii="Aptos" w:cs="Aptos" w:eastAsia="Aptos" w:hAnsi="Aptos"/>
          <w:b/>
          <w:bCs/>
          <w:color w:val="8C5A2B"/>
          <w:sz w:val="26"/>
          <w:szCs w:val="26"/>
        </w:rPr>
        <w:t xml:space="preserve">A. Die Grundregeln</w:t>
      </w:r>
    </w:p>
    <w:p>
      <w:pPr>
        <w:keepNext/>
        <w:spacing w:after="90" w:before="200"/>
      </w:pPr>
      <w:r>
        <w:rPr>
          <w:rFonts w:ascii="Aptos" w:cs="Aptos" w:eastAsia="Aptos" w:hAnsi="Aptos"/>
          <w:b/>
          <w:bCs/>
          <w:color w:val="002060"/>
          <w:sz w:val="22"/>
          <w:szCs w:val="22"/>
        </w:rPr>
        <w:t xml:space="preserve">1. Neue oder überarbeitete Ausgabe</w:t>
      </w:r>
    </w:p>
    <w:p>
      <w:pPr>
        <w:spacing w:after="140" w:before="0" w:line="300"/>
        <w:jc w:val="both"/>
      </w:pPr>
      <w:r>
        <w:rPr>
          <w:rFonts w:ascii="Aptos" w:cs="Aptos" w:eastAsia="Aptos" w:hAnsi="Aptos"/>
          <w:color w:val="1A1A1A"/>
          <w:sz w:val="21"/>
          <w:szCs w:val="21"/>
        </w:rPr>
        <w:t xml:space="preserve">Eine neue oder überarbeitete Ausgabe entsteht, wenn eine fachlich relevante Normrevision oder eine wesentliche Änderung des regulatorischen Umfelds eine inhaltliche Neubearbeitung rechtfertigt (Vorwort, S. 7).</w:t>
      </w:r>
    </w:p>
    <w:p>
      <w:pPr>
        <w:spacing w:after="140" w:before="0" w:line="300"/>
        <w:jc w:val="both"/>
      </w:pPr>
      <w:r>
        <w:rPr>
          <w:rFonts w:ascii="Aptos" w:cs="Aptos" w:eastAsia="Aptos" w:hAnsi="Aptos"/>
          <w:color w:val="1A1A1A"/>
          <w:sz w:val="21"/>
          <w:szCs w:val="21"/>
        </w:rPr>
        <w:t xml:space="preserve">Das ist eine redaktionelle Entscheidung des Autors. Es ist keine von ISO festgelegte Revisionsschwelle.</w:t>
      </w:r>
    </w:p>
    <w:p>
      <w:pPr>
        <w:keepNext/>
        <w:spacing w:after="90" w:before="200"/>
      </w:pPr>
      <w:r>
        <w:rPr>
          <w:rFonts w:ascii="Aptos" w:cs="Aptos" w:eastAsia="Aptos" w:hAnsi="Aptos"/>
          <w:b/>
          <w:bCs/>
          <w:color w:val="002060"/>
          <w:sz w:val="22"/>
          <w:szCs w:val="22"/>
        </w:rPr>
        <w:t xml:space="preserve">2. Eine Aktualisierung pro Revisionszyklus</w:t>
      </w:r>
    </w:p>
    <w:p>
      <w:pPr>
        <w:spacing w:after="140" w:before="0" w:line="300"/>
        <w:jc w:val="both"/>
      </w:pPr>
      <w:r>
        <w:rPr>
          <w:rFonts w:ascii="Aptos" w:cs="Aptos" w:eastAsia="Aptos" w:hAnsi="Aptos"/>
          <w:color w:val="1A1A1A"/>
          <w:sz w:val="21"/>
          <w:szCs w:val="21"/>
        </w:rPr>
        <w:t xml:space="preserve">Für dieselbe Norm erscheint nie mehr als eine Aktualisierung pro ISO-Revisionszyklus (Vorwort, S. 8). Die nächste folgt, wenn die ISO 14001:2026 ihrerseits revidiert wird, voraussichtlich in den frühen 2030er Jahren.</w:t>
      </w:r>
    </w:p>
    <w:p>
      <w:pPr>
        <w:spacing w:after="140" w:before="0" w:line="300"/>
        <w:jc w:val="both"/>
      </w:pPr>
      <w:r>
        <w:rPr>
          <w:rFonts w:ascii="Aptos" w:cs="Aptos" w:eastAsia="Aptos" w:hAnsi="Aptos"/>
          <w:color w:val="1A1A1A"/>
          <w:sz w:val="21"/>
          <w:szCs w:val="21"/>
        </w:rPr>
        <w:t xml:space="preserve">Ausdrücklich ausgeschlossen sind: Zwischenband, «Ausgabe 2.1», Vertiefungsband.</w:t>
      </w:r>
    </w:p>
    <w:p>
      <w:pPr>
        <w:keepNext/>
        <w:spacing w:after="90" w:before="200"/>
      </w:pPr>
      <w:r>
        <w:rPr>
          <w:rFonts w:ascii="Aptos" w:cs="Aptos" w:eastAsia="Aptos" w:hAnsi="Aptos"/>
          <w:b/>
          <w:bCs/>
          <w:color w:val="002060"/>
          <w:sz w:val="22"/>
          <w:szCs w:val="22"/>
        </w:rPr>
        <w:t xml:space="preserve">3. Errata corrige</w:t>
      </w:r>
    </w:p>
    <w:p>
      <w:pPr>
        <w:spacing w:after="140" w:before="0" w:line="300"/>
        <w:jc w:val="both"/>
      </w:pPr>
      <w:r>
        <w:rPr>
          <w:rFonts w:ascii="Aptos" w:cs="Aptos" w:eastAsia="Aptos" w:hAnsi="Aptos"/>
          <w:color w:val="1A1A1A"/>
          <w:sz w:val="21"/>
          <w:szCs w:val="21"/>
        </w:rPr>
        <w:t xml:space="preserve">Die Plattform führt ein präzises, datiertes, unterzeichnetes Errata corrige (Vorwort, S. 14). Es listet jede Passage, die durch spätere Normänderungen, Korrekturen (Amd/Cor) oder Rechtsänderungen ungenau, überholt oder widerlegt wird.</w:t>
      </w:r>
    </w:p>
    <w:p>
      <w:pPr>
        <w:spacing w:after="140" w:before="0" w:line="300"/>
        <w:jc w:val="both"/>
      </w:pPr>
      <w:r>
        <w:rPr>
          <w:rFonts w:ascii="Aptos" w:cs="Aptos" w:eastAsia="Aptos" w:hAnsi="Aptos"/>
          <w:color w:val="1A1A1A"/>
          <w:sz w:val="21"/>
          <w:szCs w:val="21"/>
        </w:rPr>
        <w:t xml:space="preserve">Es wird nicht versteckt und nicht hinausgezögert. Es wird nicht als «Vertiefung» oder «Ergänzung» präsentiert. Der Zugang ist frei, auch ohne Registrierung.</w:t>
      </w:r>
    </w:p>
    <w:p>
      <w:pPr>
        <w:keepNext/>
        <w:spacing w:after="90" w:before="200"/>
      </w:pPr>
      <w:r>
        <w:rPr>
          <w:rFonts w:ascii="Aptos" w:cs="Aptos" w:eastAsia="Aptos" w:hAnsi="Aptos"/>
          <w:b/>
          <w:bCs/>
          <w:color w:val="002060"/>
          <w:sz w:val="22"/>
          <w:szCs w:val="22"/>
        </w:rPr>
        <w:t xml:space="preserve">4. Hinweise auf der Online-Plattform</w:t>
      </w:r>
    </w:p>
    <w:p>
      <w:pPr>
        <w:spacing w:after="140" w:before="0" w:line="300"/>
        <w:jc w:val="both"/>
      </w:pPr>
      <w:r>
        <w:rPr>
          <w:rFonts w:ascii="Aptos" w:cs="Aptos" w:eastAsia="Aptos" w:hAnsi="Aptos"/>
          <w:color w:val="1A1A1A"/>
          <w:sz w:val="21"/>
          <w:szCs w:val="21"/>
        </w:rPr>
        <w:t xml:space="preserve">Die Plattform ist eine optionale Schicht, keine obligatorische Ergänzung (Vorwort, S. 13). Das Buch ist ohne sie vollständig.</w:t>
      </w:r>
    </w:p>
    <w:p>
      <w:pPr>
        <w:spacing w:after="140" w:before="0" w:line="300"/>
        <w:jc w:val="both"/>
      </w:pPr>
      <w:r>
        <w:rPr>
          <w:rFonts w:ascii="Aptos" w:cs="Aptos" w:eastAsia="Aptos" w:hAnsi="Aptos"/>
          <w:color w:val="1A1A1A"/>
          <w:sz w:val="21"/>
          <w:szCs w:val="21"/>
        </w:rPr>
        <w:t xml:space="preserve">Sie kann normative Aktualisierungen bereitstellen: Hinweise auf veröffentlichte Änderungen von Normen, Übergangsregelungen und rechtlichen Grundlagen (S. 519). Sie kann wesentliche bibliografische Aktualisierungen veröffentlichen (S. 476).</w:t>
      </w:r>
    </w:p>
    <w:p>
      <w:pPr>
        <w:spacing w:after="140" w:before="0" w:line="300"/>
        <w:jc w:val="both"/>
      </w:pPr>
      <w:r>
        <w:rPr>
          <w:rFonts w:ascii="Aptos" w:cs="Aptos" w:eastAsia="Aptos" w:hAnsi="Aptos"/>
          <w:color w:val="1A1A1A"/>
          <w:sz w:val="21"/>
          <w:szCs w:val="21"/>
        </w:rPr>
        <w:t xml:space="preserve">Die Übersichtstabelle der Neuerungen zu Abschnitt 1.2 wird bei Korrekturen oder Änderungen der Norm fortgeschrieben (S. 51).</w:t>
      </w:r>
    </w:p>
    <w:p>
      <w:pPr>
        <w:keepNext/>
        <w:spacing w:after="120" w:before="280"/>
      </w:pPr>
      <w:r>
        <w:rPr>
          <w:rFonts w:ascii="Aptos" w:cs="Aptos" w:eastAsia="Aptos" w:hAnsi="Aptos"/>
          <w:b/>
          <w:bCs/>
          <w:color w:val="8C5A2B"/>
          <w:sz w:val="26"/>
          <w:szCs w:val="26"/>
        </w:rPr>
        <w:t xml:space="preserve">B. Welcher Anlass führt zu welcher Form</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855"/>
        <w:gridCol w:w="3855"/>
        <w:gridCol w:w="1928"/>
      </w:tblGrid>
      <w:tr>
        <w:trPr>
          <w:tblHeader/>
        </w:trPr>
        <w:tc>
          <w:tcPr>
            <w:tcW w:type="dxa" w:w="3855"/>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Anlass</w:t>
            </w:r>
          </w:p>
        </w:tc>
        <w:tc>
          <w:tcPr>
            <w:tcW w:type="dxa" w:w="3855"/>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Form</w:t>
            </w:r>
          </w:p>
        </w:tc>
        <w:tc>
          <w:tcPr>
            <w:tcW w:type="dxa" w:w="1928"/>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Bezug im Buch</w:t>
            </w:r>
          </w:p>
        </w:tc>
      </w:tr>
      <w:tr>
        <w:trPr>
          <w:cantSplit/>
        </w:trPr>
        <w:tc>
          <w:tcPr>
            <w:tcW w:type="dxa" w:w="385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Die ISO 14001:2026 wird revidiert (neuer ISO-Revisionszyklus).</w:t>
            </w:r>
          </w:p>
        </w:tc>
        <w:tc>
          <w:tcPr>
            <w:tcW w:type="dxa" w:w="385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Nächste Aktualisierung der Schriftenreihe. Höchstens eine pro Zyklus.</w:t>
            </w:r>
          </w:p>
        </w:tc>
        <w:tc>
          <w:tcPr>
            <w:tcW w:type="dxa" w:w="192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Vorwort, S. 8</w:t>
            </w:r>
          </w:p>
        </w:tc>
      </w:tr>
      <w:tr>
        <w:trPr>
          <w:cantSplit/>
        </w:trPr>
        <w:tc>
          <w:tcPr>
            <w:tcW w:type="dxa" w:w="385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Wesentliche Änderung des regulatorischen Umfelds, die eine inhaltliche Neubearbeitung rechtfertigt.</w:t>
            </w:r>
          </w:p>
        </w:tc>
        <w:tc>
          <w:tcPr>
            <w:tcW w:type="dxa" w:w="385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Neue oder überarbeitete Ausgabe, nach dokumentierter redaktioneller Entscheidung.</w:t>
            </w:r>
          </w:p>
        </w:tc>
        <w:tc>
          <w:tcPr>
            <w:tcW w:type="dxa" w:w="192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Vorwort, S. 7</w:t>
            </w:r>
          </w:p>
        </w:tc>
      </w:tr>
      <w:tr>
        <w:trPr>
          <w:cantSplit/>
        </w:trPr>
        <w:tc>
          <w:tcPr>
            <w:tcW w:type="dxa" w:w="385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Eine Passage wird durch Normänderung, Amd/Cor oder Rechtsänderung ungenau, überholt oder widerlegt.</w:t>
            </w:r>
          </w:p>
        </w:tc>
        <w:tc>
          <w:tcPr>
            <w:tcW w:type="dxa" w:w="385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Eintrag im Errata corrige, datiert und unterzeichnet.</w:t>
            </w:r>
          </w:p>
        </w:tc>
        <w:tc>
          <w:tcPr>
            <w:tcW w:type="dxa" w:w="192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Vorwort, S. 14</w:t>
            </w:r>
          </w:p>
        </w:tc>
      </w:tr>
      <w:tr>
        <w:trPr>
          <w:cantSplit/>
        </w:trPr>
        <w:tc>
          <w:tcPr>
            <w:tcW w:type="dxa" w:w="385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Eine Passage ist schon zum Redaktionsschluss uneinheitlich oder fehlerhaft gesetzt.</w:t>
            </w:r>
          </w:p>
        </w:tc>
        <w:tc>
          <w:tcPr>
            <w:tcW w:type="dxa" w:w="385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Berichtigung in der nächsten Druckfassung; bis dahin Hinweis auf der Plattform.</w:t>
            </w:r>
          </w:p>
        </w:tc>
        <w:tc>
          <w:tcPr>
            <w:tcW w:type="dxa" w:w="192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Praxis der Schriftenreihe</w:t>
            </w:r>
          </w:p>
        </w:tc>
      </w:tr>
      <w:tr>
        <w:trPr>
          <w:cantSplit/>
        </w:trPr>
        <w:tc>
          <w:tcPr>
            <w:tcW w:type="dxa" w:w="385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Veröffentlichte Änderung einer Norm, einer Übergangsregelung oder einer Rechtsgrundlage.</w:t>
            </w:r>
          </w:p>
        </w:tc>
        <w:tc>
          <w:tcPr>
            <w:tcW w:type="dxa" w:w="385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Hinweis unter «Normative Aktualisierungen» auf der Plattform, soweit bereitgestellt.</w:t>
            </w:r>
          </w:p>
        </w:tc>
        <w:tc>
          <w:tcPr>
            <w:tcW w:type="dxa" w:w="192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Die Online-Plattform, S. 519</w:t>
            </w:r>
          </w:p>
        </w:tc>
      </w:tr>
      <w:tr>
        <w:trPr>
          <w:cantSplit/>
        </w:trPr>
        <w:tc>
          <w:tcPr>
            <w:tcW w:type="dxa" w:w="385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Wesentliche Änderung einer bibliografischen Angabe.</w:t>
            </w:r>
          </w:p>
        </w:tc>
        <w:tc>
          <w:tcPr>
            <w:tcW w:type="dxa" w:w="385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Bibliografische Aktualisierung auf der Plattform, soweit veröffentlicht.</w:t>
            </w:r>
          </w:p>
        </w:tc>
        <w:tc>
          <w:tcPr>
            <w:tcW w:type="dxa" w:w="192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Quellen und Forschungsmethodik, S. 476</w:t>
            </w:r>
          </w:p>
        </w:tc>
      </w:tr>
      <w:tr>
        <w:trPr>
          <w:cantSplit/>
        </w:trPr>
        <w:tc>
          <w:tcPr>
            <w:tcW w:type="dxa" w:w="385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Korrektur oder Änderung der Norm, die Abschnitt 1.2 betrifft.</w:t>
            </w:r>
          </w:p>
        </w:tc>
        <w:tc>
          <w:tcPr>
            <w:tcW w:type="dxa" w:w="385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Fortschreibung der Übersichtstabelle der Neuerungen.</w:t>
            </w:r>
          </w:p>
        </w:tc>
        <w:tc>
          <w:tcPr>
            <w:tcW w:type="dxa" w:w="192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Abschnitt 1.2, S. 51</w:t>
            </w:r>
          </w:p>
        </w:tc>
      </w:tr>
    </w:tbl>
    <w:p>
      <w:pPr>
        <w:spacing w:after="140"/>
      </w:pPr>
    </w:p>
    <w:p>
      <w:pPr>
        <w:spacing w:after="140" w:before="0" w:line="300"/>
        <w:jc w:val="both"/>
      </w:pPr>
      <w:r>
        <w:rPr>
          <w:rFonts w:ascii="Aptos" w:cs="Aptos" w:eastAsia="Aptos" w:hAnsi="Aptos"/>
          <w:i/>
          <w:iCs/>
          <w:color w:val="1A1A1A"/>
          <w:sz w:val="21"/>
          <w:szCs w:val="21"/>
        </w:rPr>
        <w:t xml:space="preserve">Die vierte Zeile ist kein eigener Satz des Buches. Sie beschreibt die Praxis der Schriftenreihe bei Fehlern, die schon zum Redaktionsschluss bestanden.</w:t>
      </w:r>
    </w:p>
    <w:p>
      <w:pPr>
        <w:keepNext/>
        <w:spacing w:after="120" w:before="280"/>
      </w:pPr>
      <w:r>
        <w:rPr>
          <w:rFonts w:ascii="Aptos" w:cs="Aptos" w:eastAsia="Aptos" w:hAnsi="Aptos"/>
          <w:b/>
          <w:bCs/>
          <w:color w:val="8C5A2B"/>
          <w:sz w:val="26"/>
          <w:szCs w:val="26"/>
        </w:rPr>
        <w:t xml:space="preserve">C. Woran die Entscheidung gemessen wird</w:t>
      </w:r>
    </w:p>
    <w:p>
      <w:pPr>
        <w:spacing w:after="140" w:before="0" w:line="300"/>
        <w:jc w:val="both"/>
      </w:pPr>
      <w:r>
        <w:rPr>
          <w:rFonts w:ascii="Aptos" w:cs="Aptos" w:eastAsia="Aptos" w:hAnsi="Aptos"/>
          <w:color w:val="1A1A1A"/>
          <w:sz w:val="21"/>
          <w:szCs w:val="21"/>
        </w:rPr>
        <w:t xml:space="preserve">Die Entscheidung über eine Neubearbeitung wird dokumentiert. Grundlage sind die offizielle Normausgabe, ihre Änderungsübersicht und die fachlichen Auswirkungen auf die Hotellerie (Vorwort, S. 7).</w:t>
      </w:r>
    </w:p>
    <w:p>
      <w:pPr>
        <w:spacing w:after="140" w:before="0" w:line="300"/>
        <w:jc w:val="both"/>
      </w:pPr>
      <w:r>
        <w:rPr>
          <w:rFonts w:ascii="Aptos" w:cs="Aptos" w:eastAsia="Aptos" w:hAnsi="Aptos"/>
          <w:color w:val="1A1A1A"/>
          <w:sz w:val="21"/>
          <w:szCs w:val="21"/>
        </w:rPr>
        <w:t xml:space="preserve">Die redaktionelle Entscheidung orientiert sich an veröffentlichten Normen, geltenden Rechtsvorschriften und deren Bedeutung für die Praxis der Hotellerie (Vorwort, S. 8).</w:t>
      </w:r>
    </w:p>
    <w:p>
      <w:pPr>
        <w:pStyle w:val="ListParagraph"/>
        <w:numPr>
          <w:ilvl w:val="0"/>
          <w:numId w:val="2"/>
        </w:numPr>
        <w:spacing w:after="70" w:line="290"/>
        <w:jc w:val="left"/>
      </w:pPr>
      <w:r>
        <w:rPr>
          <w:rFonts w:ascii="Aptos" w:cs="Aptos" w:eastAsia="Aptos" w:hAnsi="Aptos"/>
          <w:b/>
          <w:bCs/>
          <w:color w:val="1A1A1A"/>
          <w:sz w:val="21"/>
          <w:szCs w:val="21"/>
        </w:rPr>
        <w:t xml:space="preserve">Primärquelle vor Portal.</w:t>
      </w:r>
      <w:r>
        <w:rPr>
          <w:rFonts w:ascii="Aptos" w:cs="Aptos" w:eastAsia="Aptos" w:hAnsi="Aptos"/>
          <w:color w:val="1A1A1A"/>
          <w:sz w:val="21"/>
          <w:szCs w:val="21"/>
        </w:rPr>
        <w:t xml:space="preserve"> Als überprüfte Tatsache gilt nur, was an einer konkreten öffentlichen Primärquelle belegt ist (Vorwort, S. 9). Ein bloßer Portalverweis ersetzt keinen Einzelnachweis (S. 490 bis 491).</w:t>
      </w:r>
    </w:p>
    <w:p>
      <w:pPr>
        <w:pStyle w:val="ListParagraph"/>
        <w:numPr>
          <w:ilvl w:val="0"/>
          <w:numId w:val="2"/>
        </w:numPr>
        <w:spacing w:after="70" w:line="290"/>
        <w:jc w:val="left"/>
      </w:pPr>
      <w:r>
        <w:rPr>
          <w:rFonts w:ascii="Aptos" w:cs="Aptos" w:eastAsia="Aptos" w:hAnsi="Aptos"/>
          <w:b/>
          <w:bCs/>
          <w:color w:val="1A1A1A"/>
          <w:sz w:val="21"/>
          <w:szCs w:val="21"/>
        </w:rPr>
        <w:t xml:space="preserve">Keine internen Dokumente als Beleg.</w:t>
      </w:r>
      <w:r>
        <w:rPr>
          <w:rFonts w:ascii="Aptos" w:cs="Aptos" w:eastAsia="Aptos" w:hAnsi="Aptos"/>
          <w:color w:val="1A1A1A"/>
          <w:sz w:val="21"/>
          <w:szCs w:val="21"/>
        </w:rPr>
        <w:t xml:space="preserve"> Interne Entwurfsdokumente, Abstimmungsergebnisse und nicht öffentlich belegte Dokumentnummern gelten nicht als verifizierte Quellen (S. 480).</w:t>
      </w:r>
    </w:p>
    <w:p>
      <w:pPr>
        <w:pStyle w:val="ListParagraph"/>
        <w:numPr>
          <w:ilvl w:val="0"/>
          <w:numId w:val="2"/>
        </w:numPr>
        <w:spacing w:after="70" w:line="290"/>
        <w:jc w:val="left"/>
      </w:pPr>
      <w:r>
        <w:rPr>
          <w:rFonts w:ascii="Aptos" w:cs="Aptos" w:eastAsia="Aptos" w:hAnsi="Aptos"/>
          <w:b/>
          <w:bCs/>
          <w:color w:val="1A1A1A"/>
          <w:sz w:val="21"/>
          <w:szCs w:val="21"/>
        </w:rPr>
        <w:t xml:space="preserve">Geltende Fassung.</w:t>
      </w:r>
      <w:r>
        <w:rPr>
          <w:rFonts w:ascii="Aptos" w:cs="Aptos" w:eastAsia="Aptos" w:hAnsi="Aptos"/>
          <w:color w:val="1A1A1A"/>
          <w:sz w:val="21"/>
          <w:szCs w:val="21"/>
        </w:rPr>
        <w:t xml:space="preserve"> Rechtsquellen werden nach dem jeweils geltenden konsolidierten Wortlaut gelesen (S. 490).</w:t>
      </w:r>
    </w:p>
    <w:p>
      <w:pPr>
        <w:pStyle w:val="ListParagraph"/>
        <w:numPr>
          <w:ilvl w:val="0"/>
          <w:numId w:val="2"/>
        </w:numPr>
        <w:spacing w:after="70" w:line="290"/>
        <w:jc w:val="left"/>
      </w:pPr>
      <w:r>
        <w:rPr>
          <w:rFonts w:ascii="Aptos" w:cs="Aptos" w:eastAsia="Aptos" w:hAnsi="Aptos"/>
          <w:b/>
          <w:bCs/>
          <w:color w:val="1A1A1A"/>
          <w:sz w:val="21"/>
          <w:szCs w:val="21"/>
        </w:rPr>
        <w:t xml:space="preserve">Norm, Recht und Methode getrennt.</w:t>
      </w:r>
      <w:r>
        <w:rPr>
          <w:rFonts w:ascii="Aptos" w:cs="Aptos" w:eastAsia="Aptos" w:hAnsi="Aptos"/>
          <w:color w:val="1A1A1A"/>
          <w:sz w:val="21"/>
          <w:szCs w:val="21"/>
        </w:rPr>
        <w:t xml:space="preserve"> Normanforderungen, gesetzliche Verpflichtungen und freiwillige Managementinstrumente werden konsequent unterschieden (Vorwort, S. 10).</w:t>
      </w:r>
    </w:p>
    <w:p>
      <w:pPr>
        <w:keepNext/>
        <w:spacing w:after="120" w:before="280"/>
      </w:pPr>
      <w:r>
        <w:rPr>
          <w:rFonts w:ascii="Aptos" w:cs="Aptos" w:eastAsia="Aptos" w:hAnsi="Aptos"/>
          <w:b/>
          <w:bCs/>
          <w:color w:val="8C5A2B"/>
          <w:sz w:val="26"/>
          <w:szCs w:val="26"/>
        </w:rPr>
        <w:t xml:space="preserve">D. Der Prüfstand</w:t>
      </w:r>
    </w:p>
    <w:p>
      <w:pPr>
        <w:spacing w:after="140" w:before="0" w:line="300"/>
        <w:jc w:val="both"/>
      </w:pPr>
      <w:r>
        <w:rPr>
          <w:rFonts w:ascii="Aptos" w:cs="Aptos" w:eastAsia="Aptos" w:hAnsi="Aptos"/>
          <w:color w:val="1A1A1A"/>
          <w:sz w:val="21"/>
          <w:szCs w:val="21"/>
        </w:rPr>
        <w:t xml:space="preserve">Der Redaktionsschluss des Bandes ist der 9. Oktober 2026 (S. 2). Auf ihn bezieht sich der dokumentierte Prüfstand aller angeführten Verweise (S. 476).</w:t>
      </w:r>
    </w:p>
    <w:p>
      <w:pPr>
        <w:spacing w:after="140" w:before="0" w:line="300"/>
        <w:jc w:val="both"/>
      </w:pPr>
      <w:r>
        <w:rPr>
          <w:rFonts w:ascii="Aptos" w:cs="Aptos" w:eastAsia="Aptos" w:hAnsi="Aptos"/>
          <w:color w:val="1A1A1A"/>
          <w:sz w:val="21"/>
          <w:szCs w:val="21"/>
        </w:rPr>
        <w:t xml:space="preserve">Normen, Verordnungen und technische Dokumente können später geändert worden sein. Maßgeblich ist stets die Fassung zum Zeitpunkt der Anwendung (S. 2).</w:t>
      </w:r>
    </w:p>
    <w:p>
      <w:pPr>
        <w:spacing w:after="140" w:before="0" w:line="300"/>
        <w:jc w:val="both"/>
      </w:pPr>
      <w:r>
        <w:rPr>
          <w:rFonts w:ascii="Aptos" w:cs="Aptos" w:eastAsia="Aptos" w:hAnsi="Aptos"/>
          <w:color w:val="1A1A1A"/>
          <w:sz w:val="21"/>
          <w:szCs w:val="21"/>
        </w:rPr>
        <w:t xml:space="preserve">Das Kapitel «Rechtsstand, redaktionelle Aktualisierung» hält den Stand vom 9. Oktober 2026 fest (S. 521 bis 522). Seine Anwendungsregel: Aussagen über konkrete Berichtspflichten beziehen sich auf Rechtsträger, Schwellenwerte, Konsolidierungskreis, Übergangsbestimmungen und Rechtsstand des Landes (S. 522).</w:t>
      </w:r>
    </w:p>
    <w:p>
      <w:pPr>
        <w:keepNext/>
        <w:spacing w:after="120" w:before="280"/>
      </w:pPr>
      <w:r>
        <w:rPr>
          <w:rFonts w:ascii="Aptos" w:cs="Aptos" w:eastAsia="Aptos" w:hAnsi="Aptos"/>
          <w:b/>
          <w:bCs/>
          <w:color w:val="8C5A2B"/>
          <w:sz w:val="26"/>
          <w:szCs w:val="26"/>
        </w:rPr>
        <w:t xml:space="preserve">E. Was nicht zugesagt wird</w:t>
      </w:r>
    </w:p>
    <w:p>
      <w:pPr>
        <w:pStyle w:val="ListParagraph"/>
        <w:numPr>
          <w:ilvl w:val="0"/>
          <w:numId w:val="2"/>
        </w:numPr>
        <w:spacing w:after="70" w:line="290"/>
        <w:jc w:val="left"/>
      </w:pPr>
      <w:r>
        <w:rPr>
          <w:rFonts w:ascii="Aptos" w:cs="Aptos" w:eastAsia="Aptos" w:hAnsi="Aptos"/>
          <w:color w:val="1A1A1A"/>
          <w:sz w:val="21"/>
          <w:szCs w:val="21"/>
        </w:rPr>
        <w:t xml:space="preserve">Kein fester Erscheinungsrhythmus und keine Zusage zur Anzahl künftiger Bände (Vorwort, S. 7).</w:t>
      </w:r>
    </w:p>
    <w:p>
      <w:pPr>
        <w:pStyle w:val="ListParagraph"/>
        <w:numPr>
          <w:ilvl w:val="0"/>
          <w:numId w:val="2"/>
        </w:numPr>
        <w:spacing w:after="70" w:line="290"/>
        <w:jc w:val="left"/>
      </w:pPr>
      <w:r>
        <w:rPr>
          <w:rFonts w:ascii="Aptos" w:cs="Aptos" w:eastAsia="Aptos" w:hAnsi="Aptos"/>
          <w:color w:val="1A1A1A"/>
          <w:sz w:val="21"/>
          <w:szCs w:val="21"/>
        </w:rPr>
        <w:t xml:space="preserve">Keine verbindliche Erscheinungsfolge und keine feste Gesamtzahl, abgeleitet aus Revisionszyklen einzelner Normen (Vorwort, S. 8).</w:t>
      </w:r>
    </w:p>
    <w:p>
      <w:pPr>
        <w:pStyle w:val="ListParagraph"/>
        <w:numPr>
          <w:ilvl w:val="0"/>
          <w:numId w:val="2"/>
        </w:numPr>
        <w:spacing w:after="70" w:line="290"/>
        <w:jc w:val="left"/>
      </w:pPr>
      <w:r>
        <w:rPr>
          <w:rFonts w:ascii="Aptos" w:cs="Aptos" w:eastAsia="Aptos" w:hAnsi="Aptos"/>
          <w:color w:val="1A1A1A"/>
          <w:sz w:val="21"/>
          <w:szCs w:val="21"/>
        </w:rPr>
        <w:t xml:space="preserve">Keine feste Aktualisierungsperiodizität für bibliografische Hinweise (S. 476).</w:t>
      </w:r>
    </w:p>
    <w:p>
      <w:pPr>
        <w:pStyle w:val="ListParagraph"/>
        <w:numPr>
          <w:ilvl w:val="0"/>
          <w:numId w:val="2"/>
        </w:numPr>
        <w:spacing w:after="70" w:line="290"/>
        <w:jc w:val="left"/>
      </w:pPr>
      <w:r>
        <w:rPr>
          <w:rFonts w:ascii="Aptos" w:cs="Aptos" w:eastAsia="Aptos" w:hAnsi="Aptos"/>
          <w:color w:val="1A1A1A"/>
          <w:sz w:val="21"/>
          <w:szCs w:val="21"/>
        </w:rPr>
        <w:t xml:space="preserve">Keine verbindliche Aktualisierungsfrist für normative Hinweise auf der Plattform (S. 519).</w:t>
      </w:r>
    </w:p>
    <w:p>
      <w:pPr>
        <w:pStyle w:val="ListParagraph"/>
        <w:numPr>
          <w:ilvl w:val="0"/>
          <w:numId w:val="2"/>
        </w:numPr>
        <w:spacing w:after="70" w:line="290"/>
        <w:jc w:val="left"/>
      </w:pPr>
      <w:r>
        <w:rPr>
          <w:rFonts w:ascii="Aptos" w:cs="Aptos" w:eastAsia="Aptos" w:hAnsi="Aptos"/>
          <w:color w:val="1A1A1A"/>
          <w:sz w:val="21"/>
          <w:szCs w:val="21"/>
        </w:rPr>
        <w:t xml:space="preserve">Keine Zusage, dass bestimmte Materialien verfügbar sind. Was tatsächlich bereitsteht, zeigt das aktuelle Angebot der Website (S. 519).</w:t>
      </w:r>
    </w:p>
    <w:p>
      <w:pPr>
        <w:pStyle w:val="ListParagraph"/>
        <w:numPr>
          <w:ilvl w:val="0"/>
          <w:numId w:val="2"/>
        </w:numPr>
        <w:spacing w:after="70" w:line="290"/>
        <w:jc w:val="left"/>
      </w:pPr>
      <w:r>
        <w:rPr>
          <w:rFonts w:ascii="Aptos" w:cs="Aptos" w:eastAsia="Aptos" w:hAnsi="Aptos"/>
          <w:color w:val="1A1A1A"/>
          <w:sz w:val="21"/>
          <w:szCs w:val="21"/>
        </w:rPr>
        <w:t xml:space="preserve">Kein Zwischenband, keine «Ausgabe 2.1», kein Vertiefungsband innerhalb eines Revisionszyklus (Vorwort, S. 8).</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none" w:color="FFFFFF" w:sz="0"/>
              <w:left w:val="single" w:color="8C5A2B" w:sz="24"/>
              <w:bottom w:val="none" w:color="FFFFFF" w:sz="0"/>
              <w:right w:val="none" w:color="FFFFFF" w:sz="0"/>
            </w:tcBorders>
            <w:shd w:fill="EFE7DC" w:color="auto" w:val="clear"/>
            <w:tcMar>
              <w:top w:type="dxa" w:w="100"/>
              <w:left w:type="dxa" w:w="180"/>
              <w:bottom w:type="dxa" w:w="100"/>
              <w:right w:type="dxa" w:w="160"/>
            </w:tcMar>
          </w:tcPr>
          <w:p>
            <w:pPr>
              <w:spacing w:after="0" w:line="300"/>
            </w:pPr>
            <w:r>
              <w:rPr>
                <w:rFonts w:ascii="Aptos" w:cs="Aptos" w:eastAsia="Aptos" w:hAnsi="Aptos"/>
                <w:b/>
                <w:bCs/>
                <w:color w:val="8C5A2B"/>
                <w:sz w:val="18"/>
                <w:szCs w:val="18"/>
              </w:rPr>
              <w:t xml:space="preserve">Zur Einordnung </w:t>
            </w:r>
            <w:r>
              <w:rPr>
                <w:rFonts w:ascii="Aptos" w:cs="Aptos" w:eastAsia="Aptos" w:hAnsi="Aptos"/>
                <w:color w:val="1A1A1A"/>
                <w:sz w:val="21"/>
                <w:szCs w:val="21"/>
              </w:rPr>
              <w:t xml:space="preserve">Das Vorwort nennt als Inhalt der Plattform auch «Daten und Benchmarks, die sich jährlich ändern» (S. 14). Das beschreibt die Art der Daten, nicht einen Aktualisierungstakt. Eine jährliche Aktualisierung sagen die übrigen Stellen des Buches ausdrücklich nicht zu.</w:t>
            </w:r>
          </w:p>
        </w:tc>
      </w:tr>
    </w:tbl>
    <w:p>
      <w:pPr>
        <w:spacing w:after="120"/>
      </w:pPr>
    </w:p>
    <w:p>
      <w:pPr>
        <w:keepNext/>
        <w:spacing w:after="120" w:before="280"/>
      </w:pPr>
      <w:r>
        <w:rPr>
          <w:rFonts w:ascii="Aptos" w:cs="Aptos" w:eastAsia="Aptos" w:hAnsi="Aptos"/>
          <w:b/>
          <w:bCs/>
          <w:color w:val="8C5A2B"/>
          <w:sz w:val="26"/>
          <w:szCs w:val="26"/>
        </w:rPr>
        <w:t xml:space="preserve">F. Arbeitsblatt: Ist mein Stand noch aktuell?</w:t>
      </w:r>
    </w:p>
    <w:p>
      <w:pPr>
        <w:spacing w:after="140" w:before="0" w:line="300"/>
        <w:jc w:val="both"/>
      </w:pPr>
      <w:r>
        <w:rPr>
          <w:rFonts w:ascii="Aptos" w:cs="Aptos" w:eastAsia="Aptos" w:hAnsi="Aptos"/>
          <w:color w:val="1A1A1A"/>
          <w:sz w:val="21"/>
          <w:szCs w:val="21"/>
        </w:rPr>
        <w:t xml:space="preserve">Das Haus prüft vor jeder Verwendung einer Angabe aus Band 1a, ob sich der Stand geändert hat. Die Tabelle hält das Ergebnis fest.</w:t>
      </w:r>
    </w:p>
    <w:p>
      <w:pPr>
        <w:keepNext/>
        <w:spacing w:after="90" w:before="160"/>
      </w:pPr>
      <w:r>
        <w:rPr>
          <w:rFonts w:ascii="Aptos" w:cs="Aptos" w:eastAsia="Aptos" w:hAnsi="Aptos"/>
          <w:b/>
          <w:bCs/>
          <w:color w:val="5A5A5A"/>
          <w:sz w:val="18"/>
          <w:szCs w:val="18"/>
        </w:rPr>
        <w:t xml:space="preserve">Prüfliste vor Verwendung</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819"/>
        <w:gridCol w:w="2891"/>
        <w:gridCol w:w="1928"/>
      </w:tblGrid>
      <w:tr>
        <w:trPr>
          <w:tblHeader/>
        </w:trPr>
        <w:tc>
          <w:tcPr>
            <w:tcW w:type="dxa" w:w="4819"/>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Prüfschritt</w:t>
            </w:r>
          </w:p>
        </w:tc>
        <w:tc>
          <w:tcPr>
            <w:tcW w:type="dxa" w:w="2891"/>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Ergebnis</w:t>
            </w:r>
          </w:p>
        </w:tc>
        <w:tc>
          <w:tcPr>
            <w:tcW w:type="dxa" w:w="1928"/>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geprüft am / Kürzel</w:t>
            </w:r>
          </w:p>
        </w:tc>
      </w:tr>
      <w:tr>
        <w:trPr>
          <w:cantSplit/>
        </w:trPr>
        <w:tc>
          <w:tcPr>
            <w:tcW w:type="dxa" w:w="481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Neueste Fassung des Errata corrige auf buecher.effedore.com eingesehen. Datum der Fassung:</w:t>
            </w:r>
          </w:p>
        </w:tc>
        <w:tc>
          <w:tcPr>
            <w:tcW w:type="dxa" w:w="289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92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481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Betrifft ein Eintrag eine Stelle, die wir verwenden? Welche?</w:t>
            </w:r>
          </w:p>
        </w:tc>
        <w:tc>
          <w:tcPr>
            <w:tcW w:type="dxa" w:w="289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92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481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Hinweise unter «Normative Aktualisierungen» auf der Plattform eingesehen.</w:t>
            </w:r>
          </w:p>
        </w:tc>
        <w:tc>
          <w:tcPr>
            <w:tcW w:type="dxa" w:w="289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92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481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Verwendete Rechtsangabe an der geltenden Fassung geprüft (Quelle, Fundstelle):</w:t>
            </w:r>
          </w:p>
        </w:tc>
        <w:tc>
          <w:tcPr>
            <w:tcW w:type="dxa" w:w="289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92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481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Übergangsvorgaben der eigenen Zertifizierungsstelle abgefragt (siehe Anhang 1).</w:t>
            </w:r>
          </w:p>
        </w:tc>
        <w:tc>
          <w:tcPr>
            <w:tcW w:type="dxa" w:w="289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92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481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Zahl aus einem Fallbeispiel durch eigene Messdaten ersetzt?</w:t>
            </w:r>
          </w:p>
        </w:tc>
        <w:tc>
          <w:tcPr>
            <w:tcW w:type="dxa" w:w="289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92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bl>
    <w:p>
      <w:pPr>
        <w:spacing w:after="140"/>
      </w:pPr>
    </w:p>
    <w:p>
      <w:pPr>
        <w:keepNext/>
        <w:spacing w:after="120" w:before="280"/>
      </w:pPr>
      <w:r>
        <w:rPr>
          <w:rFonts w:ascii="Aptos" w:cs="Aptos" w:eastAsia="Aptos" w:hAnsi="Aptos"/>
          <w:b/>
          <w:bCs/>
          <w:color w:val="8C5A2B"/>
          <w:sz w:val="26"/>
          <w:szCs w:val="26"/>
        </w:rPr>
        <w:t xml:space="preserve">Was dieses Material nicht ist</w:t>
      </w:r>
    </w:p>
    <w:p>
      <w:pPr>
        <w:spacing w:after="140" w:before="0" w:line="300"/>
        <w:jc w:val="both"/>
      </w:pPr>
      <w:r>
        <w:rPr>
          <w:rFonts w:ascii="Aptos" w:cs="Aptos" w:eastAsia="Aptos" w:hAnsi="Aptos"/>
          <w:color w:val="1A1A1A"/>
          <w:sz w:val="21"/>
          <w:szCs w:val="21"/>
        </w:rPr>
        <w:t xml:space="preserve">Dieser Anhang ersetzt nicht den Wortlaut der ISO 14001:2026 und nicht die geltenden Rechtstexte. Er ist keine Rechtsberatung und begründet keine Zusagen über das Buch hinaus. Seine Prüfliste ist an das eigene Haus anzupassen. Rechtsstand und Prüfstand: 9. Oktober 2026.</w:t>
      </w:r>
    </w:p>
    <w:p>
      <w:pPr>
        <w:spacing w:after="140" w:before="0" w:line="300"/>
        <w:jc w:val="both"/>
      </w:pPr>
      <w:r>
        <w:rPr>
          <w:rFonts w:ascii="Aptos" w:cs="Aptos" w:eastAsia="Aptos" w:hAnsi="Aptos"/>
          <w:i/>
          <w:iCs/>
          <w:color w:val="1A1A1A"/>
          <w:sz w:val="21"/>
          <w:szCs w:val="21"/>
        </w:rPr>
        <w:t xml:space="preserve">Bezug im Buch: Band 1a, Vorwort; Quellen und Forschungsmethodik; Die Online-Plattform; Rechtsstand, redaktionelle Aktualisierung.</w:t>
      </w:r>
    </w:p>
    <w:sectPr>
      <w:footerReference w:type="default" r:id="rId7"/>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ptos" w:cs="Aptos" w:eastAsia="Aptos" w:hAnsi="Aptos"/>
        <w:color w:val="5A5A5A"/>
        <w:sz w:val="16"/>
        <w:szCs w:val="16"/>
      </w:rPr>
      <w:t xml:space="preserve">Francesco Dore · Das Steuer und die Lupe · Band 1a · Seite </w:t>
    </w:r>
    <w:r>
      <w:rPr>
        <w:rFonts w:ascii="Aptos" w:cs="Aptos" w:eastAsia="Aptos" w:hAnsi="Aptos"/>
        <w:color w:val="5A5A5A"/>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60"/>
      </w:pPr>
    </w:lvl>
  </w:abstractNum>
  <w:abstractNum w:abstractNumId="3" w15:restartNumberingAfterBreak="0">
    <w:multiLevelType w:val="hybridMultilevel"/>
    <w:lvl w:ilvl="0" w15:tentative="1">
      <w:start w:val="1"/>
      <w:numFmt w:val="decimal"/>
      <w:lvlText w:val="%1."/>
      <w:lvlJc w:val="left"/>
      <w:pPr>
        <w:ind w:left="400" w:hanging="30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cs="Aptos" w:eastAsia="Aptos" w:hAnsi="Aptos"/>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outlineLvl w:val="0"/>
    </w:pPr>
    <w:rPr>
      <w:rFonts w:ascii="Aptos" w:cs="Aptos" w:eastAsia="Aptos" w:hAnsi="Aptos"/>
      <w:b/>
      <w:bCs/>
      <w:color w:val="002060"/>
      <w:sz w:val="36"/>
      <w:szCs w:val="3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Francesco Dore</dc:creator>
  <cp:lastModifiedBy>Un-named</cp:lastModifiedBy>
  <cp:revision>1</cp:revision>
  <dcterms:created xsi:type="dcterms:W3CDTF">2026-10-10T23:31:38.132Z</dcterms:created>
  <dcterms:modified xsi:type="dcterms:W3CDTF">2026-10-10T23:31:38.143Z</dcterms:modified>
</cp:coreProperties>
</file>

<file path=docProps/custom.xml><?xml version="1.0" encoding="utf-8"?>
<Properties xmlns="http://schemas.openxmlformats.org/officeDocument/2006/custom-properties" xmlns:vt="http://schemas.openxmlformats.org/officeDocument/2006/docPropsVTypes"/>
</file>