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1a · ISO 14001:2026</w:t>
      </w:r>
    </w:p>
    <w:p>
      <w:pPr>
        <w:spacing w:after="200"/>
      </w:pPr>
      <w:r>
        <w:rPr>
          <w:rFonts w:ascii="Aptos" w:cs="Aptos" w:eastAsia="Aptos" w:hAnsi="Aptos"/>
          <w:b/>
          <w:bCs/>
          <w:color w:val="8C5A2B"/>
          <w:sz w:val="18"/>
          <w:szCs w:val="18"/>
        </w:rPr>
        <w:t xml:space="preserve">VORLAGE ZU ABSCHNITT 2.12</w:t>
      </w:r>
    </w:p>
    <w:p>
      <w:pPr>
        <w:pStyle w:val="Heading1"/>
        <w:spacing w:after="120" w:line="360"/>
      </w:pPr>
      <w:r>
        <w:rPr>
          <w:rFonts w:ascii="Aptos" w:cs="Aptos" w:eastAsia="Aptos" w:hAnsi="Aptos"/>
          <w:b/>
          <w:bCs/>
          <w:color w:val="002060"/>
          <w:sz w:val="36"/>
          <w:szCs w:val="36"/>
        </w:rPr>
        <w:t xml:space="preserve">Protokoll der Managementbewertung</w:t>
      </w:r>
    </w:p>
    <w:p>
      <w:pPr>
        <w:spacing w:after="200"/>
      </w:pPr>
      <w:r>
        <w:rPr>
          <w:rFonts w:ascii="Aptos" w:cs="Aptos" w:eastAsia="Aptos" w:hAnsi="Aptos"/>
          <w:i/>
          <w:iCs/>
          <w:color w:val="5A5A5A"/>
          <w:sz w:val="22"/>
          <w:szCs w:val="22"/>
        </w:rPr>
        <w:t xml:space="preserve">Eingaben, Datenqualität, Entscheidungen und Freigabe externer Umweltaussagen</w:t>
      </w:r>
    </w:p>
    <w:p>
      <w:pPr>
        <w:pBdr>
          <w:bottom w:val="single" w:color="C9BBA6" w:sz="6" w:space="4"/>
        </w:pBdr>
        <w:spacing w:after="240"/>
      </w:pPr>
      <w:r>
        <w:rPr>
          <w:rFonts w:ascii="Aptos" w:cs="Aptos" w:eastAsia="Aptos" w:hAnsi="Aptos"/>
          <w:color w:val="5A5A5A"/>
          <w:sz w:val="17"/>
          <w:szCs w:val="17"/>
        </w:rPr>
        <w:t xml:space="preserve">Stand: 9.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 dieser Vorlage </w:t>
            </w:r>
            <w:r>
              <w:rPr>
                <w:rFonts w:ascii="Aptos" w:cs="Aptos" w:eastAsia="Aptos" w:hAnsi="Aptos"/>
                <w:color w:val="1A1A1A"/>
                <w:sz w:val="21"/>
                <w:szCs w:val="21"/>
              </w:rPr>
              <w:t xml:space="preserve">Die Vorlage ist das Protokoll einer Managementbewertung nach Abschnitt 9.3, so wie Band 1a sie beschreibt. Sie wird ausgefüllt und als dokumentierte Information des Umweltmanagementsystems aufbewahrt. Punkte, die das Buch empfiehlt, die Norm aber nicht verlangt, sind mit </w:t>
            </w:r>
            <w:r>
              <w:rPr>
                <w:rFonts w:ascii="Aptos" w:cs="Aptos" w:eastAsia="Aptos" w:hAnsi="Aptos"/>
                <w:b/>
                <w:bCs/>
                <w:color w:val="1A1A1A"/>
                <w:sz w:val="21"/>
                <w:szCs w:val="21"/>
              </w:rPr>
              <w:t xml:space="preserve">(E)</w:t>
            </w:r>
            <w:r>
              <w:rPr>
                <w:rFonts w:ascii="Aptos" w:cs="Aptos" w:eastAsia="Aptos" w:hAnsi="Aptos"/>
                <w:color w:val="1A1A1A"/>
                <w:sz w:val="21"/>
                <w:szCs w:val="21"/>
              </w:rPr>
              <w:t xml:space="preserve"> gekennzeichnet.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3"/>
        <w:gridCol w:w="2506"/>
        <w:gridCol w:w="2313"/>
        <w:gridCol w:w="2506"/>
      </w:tblGrid>
      <w:tr>
        <w:trPr>
          <w:tblHeader/>
        </w:trPr>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Dokumentkopf</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 </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 </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Haus</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Dokument-Nr. / Version</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Erstellt (Name, Datum)</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Geprüft (Name, Datum)</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Freigegeben (Name, Datum)</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A. Sitzungsdaten und Teilnehmende</w:t>
      </w:r>
    </w:p>
    <w:p>
      <w:pPr>
        <w:spacing w:after="140" w:before="0" w:line="300"/>
        <w:jc w:val="both"/>
      </w:pPr>
      <w:r>
        <w:rPr>
          <w:rFonts w:ascii="Aptos" w:cs="Aptos" w:eastAsia="Aptos" w:hAnsi="Aptos"/>
          <w:color w:val="1A1A1A"/>
          <w:sz w:val="21"/>
          <w:szCs w:val="21"/>
        </w:rPr>
        <w:t xml:space="preserve">Ausfüllhinweis: Abschnitt 9.3.1 verlangt die Managementbewertung an geplanten Intervallen. Der jährliche Rhythmus ist das Modell des Buches, keine Normvorgabe. Das Buch rät, die Abteilungsleitungen einzubeziehen: Sie kennen die operativen Ursachen der Abweichungen.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2313"/>
        <w:gridCol w:w="2506"/>
        <w:gridCol w:w="2313"/>
      </w:tblGrid>
      <w:tr>
        <w:trPr>
          <w:tblHeader/>
        </w:trPr>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Sitzung</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 </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 </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 </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Datum, Uhrzeit</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Ort</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Bewerteter Zeitraum</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Lfd. Nr. / geplantes Intervall</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Vollständiges Dokument (Stand, verteilt am)</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Dashboard (Stand, verteilt am)</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Protokoll der Vorperiode (Datum)</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160"/>
      </w:pPr>
      <w:r>
        <w:rPr>
          <w:rFonts w:ascii="Aptos" w:cs="Aptos" w:eastAsia="Aptos" w:hAnsi="Aptos"/>
          <w:b/>
          <w:bCs/>
          <w:color w:val="5A5A5A"/>
          <w:sz w:val="18"/>
          <w:szCs w:val="18"/>
        </w:rPr>
        <w:t xml:space="preserve">Teilnehmende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77"/>
        <w:gridCol w:w="2891"/>
        <w:gridCol w:w="1542"/>
        <w:gridCol w:w="1928"/>
      </w:tblGrid>
      <w:tr>
        <w:trPr>
          <w:tblHeader/>
        </w:trPr>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Funktion</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Name</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Anwesend (ja/nein)</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Vertreten durch</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Eigentümerschaft (Vertretung)</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Generaldirektion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Nachhaltigkeits- bzw. Umweltbeauftragte</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F&amp;B-Direktion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Haustechnik</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Verkaufsdirektion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Verwaltung / Finanzen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Weitere</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spacing w:after="140" w:before="0" w:line="300"/>
        <w:jc w:val="both"/>
      </w:pPr>
      <w:r>
        <w:rPr>
          <w:rFonts w:ascii="Aptos" w:cs="Aptos" w:eastAsia="Aptos" w:hAnsi="Aptos"/>
          <w:color w:val="1A1A1A"/>
          <w:sz w:val="21"/>
          <w:szCs w:val="21"/>
        </w:rPr>
        <w:t xml:space="preserve">Tagesordnung: Erster Punkt ist nach dem Buch immer der Stand der Entscheidungen der Vorperiode (B1). Dann Dashboard, übrige Eingaben, Datenqualität, Entscheidungen, Freigabe der Aussagen.</w:t>
      </w:r>
    </w:p>
    <w:p>
      <w:pPr>
        <w:keepNext/>
        <w:spacing w:after="120" w:before="280"/>
      </w:pPr>
      <w:r>
        <w:rPr>
          <w:rFonts w:ascii="Aptos" w:cs="Aptos" w:eastAsia="Aptos" w:hAnsi="Aptos"/>
          <w:b/>
          <w:bCs/>
          <w:color w:val="8C5A2B"/>
          <w:sz w:val="26"/>
          <w:szCs w:val="26"/>
        </w:rPr>
        <w:t xml:space="preserve">B. Eingaben</w:t>
      </w:r>
    </w:p>
    <w:p>
      <w:pPr>
        <w:spacing w:after="140" w:before="0" w:line="300"/>
        <w:jc w:val="both"/>
      </w:pPr>
      <w:r>
        <w:rPr>
          <w:rFonts w:ascii="Aptos" w:cs="Aptos" w:eastAsia="Aptos" w:hAnsi="Aptos"/>
          <w:color w:val="1A1A1A"/>
          <w:sz w:val="21"/>
          <w:szCs w:val="21"/>
        </w:rPr>
        <w:t xml:space="preserve">Ausfüllhinweis: Die Zeilen B1 bis B7 folgen den Eingaben nach 9.3.2, wie das Buch sie zusammenfasst. Den genauen Wortlaut an der geltenden Normfassung prüfen. «Stand / Daten» enthält verarbeitete Information, keine Rohdaten. «Bewertung» kurz: in Ordnung, beobachten oder Handlungsbedarf.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71"/>
        <w:gridCol w:w="3662"/>
        <w:gridCol w:w="1928"/>
        <w:gridCol w:w="1638"/>
        <w:gridCol w:w="1639"/>
      </w:tblGrid>
      <w:tr>
        <w:trPr>
          <w:tblHeader/>
        </w:trPr>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366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Eingabe</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Stand / Daten</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Quelle / Nachweis</w:t>
            </w:r>
          </w:p>
        </w:tc>
        <w:tc>
          <w:tcPr>
            <w:tcW w:type="dxa" w:w="163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Bewertung</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B1</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Stand der Maßnahmen aus früheren Managementbewertungen (umgesetzt / gesamt)</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B2.1</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Änderungen bei relevanten externen und internen Kontextthemen</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B2.2</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Änderungen bei Anforderungen interessierter Parteien, einschließlich Compliance-Verpflichtungen</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B2.3</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Änderungen bei wesentlichen Umweltaspekten</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B2.4</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Änderungen bei Risiken und Chancen</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B3</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Grad der Zielerreichung (siehe Zielampel unten)</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B4.1</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Umweltleistung: Nichtkonformitäten und Korrekturmaßnahmen (Trend)</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B4.2</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Umweltleistung: Ergebnisse von Überwachung und Messung (Trend)</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B4.3</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Umweltleistung: Ergebnis der Bewertung der Einhaltung bindender Verpflichtungen</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B4.4</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Umweltleistung: Ergebnisse interner und externer Audits</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B5</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Angemessenheit der Ressourcen</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B6</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Relevante Kommunikation mit interessierten Parteien, einschließlich Beschwerden</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B7</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Möglichkeiten zur kontinuierlichen Verbesserung</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B8 (E)</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Tatsächlich bindende Berichtsanforderungen (Abschnitt 2.12)</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B9 (E)</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Kohärenz mit der Nachhaltigkeitsdisclosure (Abschnitt 1.6)</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B10 (E)</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Bewusstsein und Einbeziehung des Personals, soweit für die Wirksamkeit relevant (Abschnitt 1.11)</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B11</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Weitere</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Prüfauftrag </w:t>
            </w:r>
            <w:r>
              <w:rPr>
                <w:rFonts w:ascii="Aptos" w:cs="Aptos" w:eastAsia="Aptos" w:hAnsi="Aptos"/>
                <w:color w:val="1A1A1A"/>
                <w:sz w:val="21"/>
                <w:szCs w:val="21"/>
              </w:rPr>
              <w:t xml:space="preserve">Ob B8 und B9 für das Haus überhaupt zutreffen, hängt von der tatsächlichen Rechtslage ab. CSRD, ESRS und EU-Taxonomie sind nach dem Buch gesondert rechtlich zu bestimmen. Ein ESG-Fragebogen eines Kunden begründet keine automatische gesetzliche Berichtspflicht des Hotels.</w:t>
            </w:r>
          </w:p>
        </w:tc>
      </w:tr>
    </w:tbl>
    <w:p>
      <w:pPr>
        <w:spacing w:after="120"/>
      </w:pPr>
    </w:p>
    <w:p>
      <w:pPr>
        <w:keepNext/>
        <w:spacing w:after="90" w:before="200"/>
      </w:pPr>
      <w:r>
        <w:rPr>
          <w:rFonts w:ascii="Aptos" w:cs="Aptos" w:eastAsia="Aptos" w:hAnsi="Aptos"/>
          <w:b/>
          <w:bCs/>
          <w:color w:val="002060"/>
          <w:sz w:val="22"/>
          <w:szCs w:val="22"/>
        </w:rPr>
        <w:t xml:space="preserve">Zielampel (Auszug aus dem Dashboard)</w:t>
      </w:r>
    </w:p>
    <w:p>
      <w:pPr>
        <w:spacing w:after="140" w:before="0" w:line="300"/>
        <w:jc w:val="both"/>
      </w:pPr>
      <w:r>
        <w:rPr>
          <w:rFonts w:ascii="Aptos" w:cs="Aptos" w:eastAsia="Aptos" w:hAnsi="Aptos"/>
          <w:color w:val="1A1A1A"/>
          <w:sz w:val="21"/>
          <w:szCs w:val="21"/>
        </w:rPr>
        <w:t xml:space="preserve">Ausfüllhinweis: Ampel nach dem Buch. Grün: Ziel erreicht oder auf Kurs. Gelb: Verzögerung, die sich aufholen lässt. Rot: signifikantes Risiko, das Ziel nicht zu erreichen, auch bei mehrjährigen Zielen.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3"/>
        <w:gridCol w:w="1735"/>
        <w:gridCol w:w="1446"/>
        <w:gridCol w:w="964"/>
        <w:gridCol w:w="1060"/>
        <w:gridCol w:w="2120"/>
      </w:tblGrid>
      <w:tr>
        <w:trPr>
          <w:tblHeader/>
        </w:trPr>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Systemziel</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Kennzahl / Basisjahr</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Sollwert Periode</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Ist</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Ampel (g/g/r)</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Ursache / Kommentar</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i/>
                <w:iCs/>
                <w:color w:val="1A1A1A"/>
                <w:sz w:val="16"/>
                <w:szCs w:val="16"/>
              </w:rPr>
              <w:t xml:space="preserve">Beispiel (Kompositfall, anzupassen):</w:t>
            </w:r>
            <w:r>
              <w:rPr>
                <w:rFonts w:ascii="Aptos" w:cs="Aptos" w:eastAsia="Aptos" w:hAnsi="Aptos"/>
                <w:b/>
                <w:bCs/>
                <w:color w:val="1A1A1A"/>
                <w:sz w:val="16"/>
                <w:szCs w:val="16"/>
              </w:rPr>
              <w:t xml:space="preserve"> Reduktion Scope-1- und Scope-2-Emissionen</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Scope 1 und 2 gegenüber Basisjahr</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Trajektorie verlangt -12 %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-7,9 %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gelb</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Wärmepumpe verspätet, auf erstes Quartal Folgejahr verschoben</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C. Datenqualität: Sind die vorgelegten Umweltdaten belastbar?</w:t>
      </w:r>
    </w:p>
    <w:p>
      <w:pPr>
        <w:spacing w:after="140" w:before="0" w:line="300"/>
        <w:jc w:val="both"/>
      </w:pPr>
      <w:r>
        <w:rPr>
          <w:rFonts w:ascii="Aptos" w:cs="Aptos" w:eastAsia="Aptos" w:hAnsi="Aptos"/>
          <w:color w:val="1A1A1A"/>
          <w:sz w:val="21"/>
          <w:szCs w:val="21"/>
        </w:rPr>
        <w:t xml:space="preserve">Ausfüllhinweis: Nach dem Buch verlangt Abschnitt 7.5 die Lenkung dokumentierter Informationen. Abschnitt 9.1.1 verlangt Methoden für gültige Ergebnisse und, soweit angemessen, kalibrierte oder verifizierte Messmittel. Abschnitt 7.4.1 verlangt verlässliche Umweltinformationen, die mit den Systemdaten übereinstimmen. Erst nach diesem Urteil dürfen Daten in Teil D und E verwendet werden.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42"/>
        <w:gridCol w:w="1446"/>
        <w:gridCol w:w="1253"/>
        <w:gridCol w:w="1157"/>
        <w:gridCol w:w="1157"/>
        <w:gridCol w:w="1735"/>
        <w:gridCol w:w="1348"/>
      </w:tblGrid>
      <w:tr>
        <w:trPr>
          <w:tblHeader/>
        </w:trPr>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Datenreihe</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Quelle (Zähler, Rechnung, Schätzung)</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Verantwortlich</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Messmittel kalibriert / verifiziert</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Lücken, Schätzanteil</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Methode, Emissionsfaktor, Datenstand, Bilanzgrenze</w:t>
            </w:r>
          </w:p>
        </w:tc>
        <w:tc>
          <w:tcPr>
            <w:tcW w:type="dxa" w:w="134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Einstufung</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i/>
                <w:iCs/>
                <w:color w:val="1A1A1A"/>
                <w:sz w:val="15"/>
                <w:szCs w:val="15"/>
              </w:rPr>
              <w:t xml:space="preserve">Beispiel (Kompositfall, anzupassen):</w:t>
            </w:r>
            <w:r>
              <w:rPr>
                <w:rFonts w:ascii="Aptos" w:cs="Aptos" w:eastAsia="Aptos" w:hAnsi="Aptos"/>
                <w:b/>
                <w:bCs/>
                <w:color w:val="1A1A1A"/>
                <w:sz w:val="15"/>
                <w:szCs w:val="15"/>
              </w:rPr>
              <w:t xml:space="preserve"> Scope 3 Kategorie 1</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Beschaffungsausgaben</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Nachhaltigkeitsbeauftragte</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n. a.</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vollständig geschätzt</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Ausgaben mal sektorspezifischer Emissionsfaktor, Datenstand angeben</w:t>
            </w:r>
          </w:p>
        </w:tc>
        <w:tc>
          <w:tcPr>
            <w:tcW w:type="dxa" w:w="13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mit Einschränkung: nur als Größenordnung</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Strom</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Wärme / Brennstoffe</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Wasser</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Abfall</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Emissionen Scope 1 und 2</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Lebensmittelverschwendung</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Weitere</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Weitere</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bl>
    <w:p>
      <w:pPr>
        <w:spacing w:after="140"/>
      </w:pPr>
    </w:p>
    <w:p>
      <w:pPr>
        <w:spacing w:after="140" w:before="0" w:line="300"/>
        <w:jc w:val="both"/>
      </w:pPr>
      <w:r>
        <w:rPr>
          <w:rFonts w:ascii="Aptos" w:cs="Aptos" w:eastAsia="Aptos" w:hAnsi="Aptos"/>
          <w:color w:val="1A1A1A"/>
          <w:sz w:val="19"/>
          <w:szCs w:val="19"/>
        </w:rPr>
        <w:t xml:space="preserve">Einstufung: </w:t>
      </w:r>
      <w:r>
        <w:rPr>
          <w:rFonts w:ascii="Aptos" w:cs="Aptos" w:eastAsia="Aptos" w:hAnsi="Aptos"/>
          <w:b/>
          <w:bCs/>
          <w:color w:val="1A1A1A"/>
          <w:sz w:val="19"/>
          <w:szCs w:val="19"/>
        </w:rPr>
        <w:t xml:space="preserve">belastbar</w:t>
      </w:r>
      <w:r>
        <w:rPr>
          <w:rFonts w:ascii="Aptos" w:cs="Aptos" w:eastAsia="Aptos" w:hAnsi="Aptos"/>
          <w:color w:val="1A1A1A"/>
          <w:sz w:val="19"/>
          <w:szCs w:val="19"/>
        </w:rPr>
        <w:t xml:space="preserve"> (verwendbar ohne Einschränkung), </w:t>
      </w:r>
      <w:r>
        <w:rPr>
          <w:rFonts w:ascii="Aptos" w:cs="Aptos" w:eastAsia="Aptos" w:hAnsi="Aptos"/>
          <w:b/>
          <w:bCs/>
          <w:color w:val="1A1A1A"/>
          <w:sz w:val="19"/>
          <w:szCs w:val="19"/>
        </w:rPr>
        <w:t xml:space="preserve">mit Einschränkung</w:t>
      </w:r>
      <w:r>
        <w:rPr>
          <w:rFonts w:ascii="Aptos" w:cs="Aptos" w:eastAsia="Aptos" w:hAnsi="Aptos"/>
          <w:color w:val="1A1A1A"/>
          <w:sz w:val="19"/>
          <w:szCs w:val="19"/>
        </w:rPr>
        <w:t xml:space="preserve"> (nur mit Hinweis auf Methode oder Schätzung verwendbar), </w:t>
      </w:r>
      <w:r>
        <w:rPr>
          <w:rFonts w:ascii="Aptos" w:cs="Aptos" w:eastAsia="Aptos" w:hAnsi="Aptos"/>
          <w:b/>
          <w:bCs/>
          <w:color w:val="1A1A1A"/>
          <w:sz w:val="19"/>
          <w:szCs w:val="19"/>
        </w:rPr>
        <w:t xml:space="preserve">nicht belastbar</w:t>
      </w:r>
      <w:r>
        <w:rPr>
          <w:rFonts w:ascii="Aptos" w:cs="Aptos" w:eastAsia="Aptos" w:hAnsi="Aptos"/>
          <w:color w:val="1A1A1A"/>
          <w:sz w:val="19"/>
          <w:szCs w:val="19"/>
        </w:rPr>
        <w:t xml:space="preserve"> (weder für Entscheidungen noch für externe Aussagen).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783"/>
        <w:gridCol w:w="964"/>
        <w:gridCol w:w="2891"/>
      </w:tblGrid>
      <w:tr>
        <w:trPr>
          <w:tblHeader/>
        </w:trPr>
        <w:tc>
          <w:tcPr>
            <w:tcW w:type="dxa" w:w="578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Prüffrage</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ja / nein</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Bemerkung, Nachweis</w:t>
            </w:r>
          </w:p>
        </w:tc>
      </w:tr>
      <w:tr>
        <w:trPr>
          <w:cantSplit/>
        </w:trPr>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Quelle und verantwortliche Person je Datenreihe festgelegt?</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Qualitätskontrollen dokumentiert, etwa Plausibilität zum Vorjahr?</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Ursachen signifikanter Abweichungen zum Vorjahr analysiert?</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Anomalien nach festgelegtem Korrekturprotokoll behandelt?</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Schätzungen als Schätzungen gekennzeichnet, mit Methode?</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Emissionsfaktoren, Bilanzgrenzen, Schätzungen mit Datenstand und Methode ausgewiesen?</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Scope 2 location-based und market-based getrennt, Deckung durch Herkunftsnachweise beziffert?</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Scope-3-Werte aus Emissionsfaktoren als Größenordnung behandelt, nicht als Punktwert?</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Dashboard, vollständiges Dokument und Quelldaten stimmen überein?</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Monatsberichte der Periode vollständig (Anzahl)?</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Rohdaten und Berechnungen nachvollziehbar aufbewahrt?</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26"/>
        <w:gridCol w:w="5012"/>
      </w:tblGrid>
      <w:tr>
        <w:trPr>
          <w:tblHeader/>
        </w:trPr>
        <w:tc>
          <w:tcPr>
            <w:tcW w:type="dxa" w:w="462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Gesamturteil Datenqualität</w:t>
            </w:r>
          </w:p>
        </w:tc>
        <w:tc>
          <w:tcPr>
            <w:tcW w:type="dxa" w:w="50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Eintrag</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Daten insgesamt belastbar (ja / mit Einschränkung / nein); Folge für Teil D und E</w:t>
            </w:r>
          </w:p>
        </w:tc>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Nötige Verbesserungen der Daten-Governance (als Entscheidung in Teil D übernehmen)</w:t>
            </w:r>
          </w:p>
        </w:tc>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D. Ergebnisse und Entscheidungen</w:t>
      </w:r>
    </w:p>
    <w:p>
      <w:pPr>
        <w:spacing w:after="140" w:before="0" w:line="300"/>
        <w:jc w:val="both"/>
      </w:pPr>
      <w:r>
        <w:rPr>
          <w:rFonts w:ascii="Aptos" w:cs="Aptos" w:eastAsia="Aptos" w:hAnsi="Aptos"/>
          <w:color w:val="1A1A1A"/>
          <w:sz w:val="21"/>
          <w:szCs w:val="21"/>
        </w:rPr>
        <w:t xml:space="preserve">Ausfüllhinweis: Die Ergebnisse nach 9.3.3 umfassen nach dem Buch Schlussfolgerungen zu Eignung, Angemessenheit und Wirksamkeit sowie Entscheidungen. «Wir machen weiter wie bisher» ist nach dem Buch keine Managementbewertung, sondern eine Bestätigung des Status quo.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84"/>
        <w:gridCol w:w="3277"/>
        <w:gridCol w:w="3277"/>
      </w:tblGrid>
      <w:tr>
        <w:trPr>
          <w:tblHeader/>
        </w:trPr>
        <w:tc>
          <w:tcPr>
            <w:tcW w:type="dxa" w:w="30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Ergebnis</w:t>
            </w:r>
          </w:p>
        </w:tc>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Schlussfolgerung</w:t>
            </w:r>
          </w:p>
        </w:tc>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Begründung (Verweis auf Teil B / C)</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Eignung des Umweltmanagementsystems</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Angemessenheit</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Wirksamkeit</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Maßnahmen bei nicht erreichten Umweltzielen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Gegebenenfalls bessere Integration in andere Geschäftsprozesse</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Auswirkungen auf die strategische Ausrichtung</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Überprüfung der Umweltpolitik (E)</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200"/>
      </w:pPr>
      <w:r>
        <w:rPr>
          <w:rFonts w:ascii="Aptos" w:cs="Aptos" w:eastAsia="Aptos" w:hAnsi="Aptos"/>
          <w:b/>
          <w:bCs/>
          <w:color w:val="002060"/>
          <w:sz w:val="22"/>
          <w:szCs w:val="22"/>
        </w:rPr>
        <w:t xml:space="preserve">Entscheidungsprotokoll</w:t>
      </w:r>
    </w:p>
    <w:p>
      <w:pPr>
        <w:spacing w:after="140" w:before="0" w:line="300"/>
        <w:jc w:val="both"/>
      </w:pPr>
      <w:r>
        <w:rPr>
          <w:rFonts w:ascii="Aptos" w:cs="Aptos" w:eastAsia="Aptos" w:hAnsi="Aptos"/>
          <w:color w:val="1A1A1A"/>
          <w:sz w:val="21"/>
          <w:szCs w:val="21"/>
        </w:rPr>
        <w:t xml:space="preserve">Ausfüllhinweis: Jede Entscheidung ist konkret, hat eine verantwortliche Person, einen Termin und ein Kriterium, an dem ihr Abschluss geprüft wird. «Wir werden das Abfallmanagement verbessern» ist eine Absicht, keine Entscheidung. Art: V = Verbesserung, S = Systemänderung, Z = Maßnahme zu nicht erreichtem Ziel, I = Integration, R = Ressourcen.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78"/>
        <w:gridCol w:w="2891"/>
        <w:gridCol w:w="578"/>
        <w:gridCol w:w="1349"/>
        <w:gridCol w:w="1060"/>
        <w:gridCol w:w="1253"/>
        <w:gridCol w:w="1929"/>
      </w:tblGrid>
      <w:tr>
        <w:trPr>
          <w:tblHeader/>
        </w:trPr>
        <w:tc>
          <w:tcPr>
            <w:tcW w:type="dxa" w:w="57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Nr.</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Entscheidung (was genau)</w:t>
            </w:r>
          </w:p>
        </w:tc>
        <w:tc>
          <w:tcPr>
            <w:tcW w:type="dxa" w:w="57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Art</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Verantwortlich</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Termin</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Ressourcen</w:t>
            </w:r>
          </w:p>
        </w:tc>
        <w:tc>
          <w:tcPr>
            <w:tcW w:type="dxa" w:w="192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Abschlusskriterium</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i/>
                <w:iCs/>
                <w:color w:val="1A1A1A"/>
                <w:sz w:val="15"/>
                <w:szCs w:val="15"/>
              </w:rPr>
              <w:t xml:space="preserve">Bsp.</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i/>
                <w:iCs/>
                <w:color w:val="1A1A1A"/>
                <w:sz w:val="15"/>
                <w:szCs w:val="15"/>
              </w:rPr>
              <w:t xml:space="preserve">Beispiel (Kompositfall, anzupassen):</w:t>
            </w:r>
            <w:r>
              <w:rPr>
                <w:rFonts w:ascii="Aptos" w:cs="Aptos" w:eastAsia="Aptos" w:hAnsi="Aptos"/>
                <w:b w:val="false"/>
                <w:bCs w:val="false"/>
                <w:color w:val="1A1A1A"/>
                <w:sz w:val="15"/>
                <w:szCs w:val="15"/>
              </w:rPr>
              <w:t xml:space="preserve"> Menu-Engineering-Programm mit Emissionsberechnung je Gericht starten</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Z</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F&amp;B-Direktion</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Juni Folgejahr</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[Budget, Personal]</w:t>
            </w:r>
          </w:p>
        </w:tc>
        <w:tc>
          <w:tcPr>
            <w:tcW w:type="dxa" w:w="19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Berechnung je Gericht dokumentiert und auf der Speisekarte sichtbar</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1</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2</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3</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4</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5</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6</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7</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8</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301"/>
        <w:gridCol w:w="4337"/>
      </w:tblGrid>
      <w:tr>
        <w:trPr>
          <w:tblHeader/>
        </w:trPr>
        <w:tc>
          <w:tcPr>
            <w:tcW w:type="dxa" w:w="530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Verteilung und Nachverfolgung</w:t>
            </w:r>
          </w:p>
        </w:tc>
        <w:tc>
          <w:tcPr>
            <w:tcW w:type="dxa" w:w="433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Eintrag</w:t>
            </w:r>
          </w:p>
        </w:tc>
      </w:tr>
      <w:tr>
        <w:trPr>
          <w:cantSplit/>
        </w:trPr>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Protokoll verteilt am / an (Modell des Buches: binnen fünf Werktagen an alle Teilnehmenden)</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Umsetzungsquote der Vorperiode innerhalb der Frist (Zielwert im Buch: über 80 %); Übernahme ins Unterjahres-Monitoring</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E. Freigabe externer Umweltaussagen</w:t>
      </w:r>
    </w:p>
    <w:p>
      <w:pPr>
        <w:spacing w:after="140" w:before="0" w:line="300"/>
        <w:jc w:val="both"/>
      </w:pPr>
      <w:r>
        <w:rPr>
          <w:rFonts w:ascii="Aptos" w:cs="Aptos" w:eastAsia="Aptos" w:hAnsi="Aptos"/>
          <w:color w:val="1A1A1A"/>
          <w:sz w:val="21"/>
          <w:szCs w:val="21"/>
        </w:rPr>
        <w:t xml:space="preserve">Ausfüllhinweis: Das Buch empfiehlt, externe Aussagen aus den bewerteten Systemdaten abzuleiten. Freigegeben wird nur, was auf einer in Teil C als belastbar eingestuften Datenreihe beruht. Geprüft werden Substanz, methodische Definition, Übereinstimmung mit den internen Daten und Aktualität.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78"/>
        <w:gridCol w:w="2120"/>
        <w:gridCol w:w="964"/>
        <w:gridCol w:w="1253"/>
        <w:gridCol w:w="1638"/>
        <w:gridCol w:w="1928"/>
        <w:gridCol w:w="1157"/>
      </w:tblGrid>
      <w:tr>
        <w:trPr>
          <w:tblHeader/>
        </w:trPr>
        <w:tc>
          <w:tcPr>
            <w:tcW w:type="dxa" w:w="57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Nr.</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Aussage (Wortlaut)</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Kanal</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Datenreihe (Teil C)</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Substanz / Definition / Daten / aktuell</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Ergebnis</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Nächste Überprüfung</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i/>
                <w:iCs/>
                <w:color w:val="1A1A1A"/>
                <w:sz w:val="15"/>
                <w:szCs w:val="15"/>
              </w:rPr>
              <w:t xml:space="preserve">Bsp.</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i/>
                <w:iCs/>
                <w:color w:val="1A1A1A"/>
                <w:sz w:val="15"/>
                <w:szCs w:val="15"/>
              </w:rPr>
              <w:t xml:space="preserve">Beispiel (Kompositfall, anzupassen):</w:t>
            </w:r>
            <w:r>
              <w:rPr>
                <w:rFonts w:ascii="Aptos" w:cs="Aptos" w:eastAsia="Aptos" w:hAnsi="Aptos"/>
                <w:b w:val="false"/>
                <w:bCs w:val="false"/>
                <w:color w:val="1A1A1A"/>
                <w:sz w:val="15"/>
                <w:szCs w:val="15"/>
              </w:rPr>
              <w:t xml:space="preserve"> «100 % erneuerbare Energie»</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Website</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Strom, Scope 2</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Herkunftsnachweise decken nur einen Teil</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umformulieren: «Scope 2 market-based zu [X] % durch zertifizierte Herkunftsnachweise gedeckt»</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1</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2</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3</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4</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5</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6</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bl>
    <w:p>
      <w:pPr>
        <w:spacing w:after="140"/>
      </w:pPr>
    </w:p>
    <w:p>
      <w:pPr>
        <w:spacing w:after="140" w:before="0" w:line="300"/>
        <w:jc w:val="both"/>
      </w:pPr>
      <w:r>
        <w:rPr>
          <w:rFonts w:ascii="Aptos" w:cs="Aptos" w:eastAsia="Aptos" w:hAnsi="Aptos"/>
          <w:color w:val="1A1A1A"/>
          <w:sz w:val="19"/>
          <w:szCs w:val="19"/>
        </w:rPr>
        <w:t xml:space="preserve">Ergebnis: </w:t>
      </w:r>
      <w:r>
        <w:rPr>
          <w:rFonts w:ascii="Aptos" w:cs="Aptos" w:eastAsia="Aptos" w:hAnsi="Aptos"/>
          <w:b/>
          <w:bCs/>
          <w:color w:val="1A1A1A"/>
          <w:sz w:val="19"/>
          <w:szCs w:val="19"/>
        </w:rPr>
        <w:t xml:space="preserve">freigegeben</w:t>
      </w:r>
      <w:r>
        <w:rPr>
          <w:rFonts w:ascii="Aptos" w:cs="Aptos" w:eastAsia="Aptos" w:hAnsi="Aptos"/>
          <w:color w:val="1A1A1A"/>
          <w:sz w:val="19"/>
          <w:szCs w:val="19"/>
        </w:rPr>
        <w:t xml:space="preserve">, </w:t>
      </w:r>
      <w:r>
        <w:rPr>
          <w:rFonts w:ascii="Aptos" w:cs="Aptos" w:eastAsia="Aptos" w:hAnsi="Aptos"/>
          <w:b/>
          <w:bCs/>
          <w:color w:val="1A1A1A"/>
          <w:sz w:val="19"/>
          <w:szCs w:val="19"/>
        </w:rPr>
        <w:t xml:space="preserve">umformulieren</w:t>
      </w:r>
      <w:r>
        <w:rPr>
          <w:rFonts w:ascii="Aptos" w:cs="Aptos" w:eastAsia="Aptos" w:hAnsi="Aptos"/>
          <w:color w:val="1A1A1A"/>
          <w:sz w:val="19"/>
          <w:szCs w:val="19"/>
        </w:rPr>
        <w:t xml:space="preserve"> (Substanz vorhanden, Aussage zu generisch), </w:t>
      </w:r>
      <w:r>
        <w:rPr>
          <w:rFonts w:ascii="Aptos" w:cs="Aptos" w:eastAsia="Aptos" w:hAnsi="Aptos"/>
          <w:b/>
          <w:bCs/>
          <w:color w:val="1A1A1A"/>
          <w:sz w:val="19"/>
          <w:szCs w:val="19"/>
        </w:rPr>
        <w:t xml:space="preserve">zurückziehen</w:t>
      </w:r>
      <w:r>
        <w:rPr>
          <w:rFonts w:ascii="Aptos" w:cs="Aptos" w:eastAsia="Aptos" w:hAnsi="Aptos"/>
          <w:color w:val="1A1A1A"/>
          <w:sz w:val="19"/>
          <w:szCs w:val="19"/>
        </w:rPr>
        <w:t xml:space="preserve"> (Substanz reicht für keine Formulierung) oder </w:t>
      </w:r>
      <w:r>
        <w:rPr>
          <w:rFonts w:ascii="Aptos" w:cs="Aptos" w:eastAsia="Aptos" w:hAnsi="Aptos"/>
          <w:b/>
          <w:bCs/>
          <w:color w:val="1A1A1A"/>
          <w:sz w:val="19"/>
          <w:szCs w:val="19"/>
        </w:rPr>
        <w:t xml:space="preserve">Programm starten</w:t>
      </w:r>
      <w:r>
        <w:rPr>
          <w:rFonts w:ascii="Aptos" w:cs="Aptos" w:eastAsia="Aptos" w:hAnsi="Aptos"/>
          <w:color w:val="1A1A1A"/>
          <w:sz w:val="19"/>
          <w:szCs w:val="19"/>
        </w:rPr>
        <w:t xml:space="preserve"> (Substanz erreichbar, erfordert Maßnahmen). Ein Programm wird als Entscheidung in Teil D eingetragen.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80" w:line="300"/>
            </w:pPr>
            <w:r>
              <w:rPr>
                <w:rFonts w:ascii="Aptos" w:cs="Aptos" w:eastAsia="Aptos" w:hAnsi="Aptos"/>
                <w:b/>
                <w:bCs/>
                <w:color w:val="8C5A2B"/>
                <w:sz w:val="18"/>
                <w:szCs w:val="18"/>
              </w:rPr>
              <w:t xml:space="preserve">Sprachregeln und Prüfauftrag </w:t>
            </w:r>
            <w:r>
              <w:rPr>
                <w:rFonts w:ascii="Aptos" w:cs="Aptos" w:eastAsia="Aptos" w:hAnsi="Aptos"/>
                <w:color w:val="1A1A1A"/>
                <w:sz w:val="21"/>
                <w:szCs w:val="21"/>
              </w:rPr>
              <w:t xml:space="preserve">«Umweltfreundlich», «grün» und «nachhaltig» werden durch spezifische, verifizierbare Aussagen ersetzt. «Klimaneutral» nur, wenn die Substanz es nach ISO 14068:2026 trägt. «100 % erneuerbar» nur bei vollständiger Deckung. Das Buch empfiehlt ein Vetorecht der Nachhaltigkeitsverantwortlichen über Umweltaussagen (E).</w:t>
            </w:r>
          </w:p>
          <w:p>
            <w:pPr>
              <w:spacing w:after="0" w:line="300"/>
            </w:pPr>
            <w:r>
              <w:rPr>
                <w:rFonts w:ascii="Aptos" w:cs="Aptos" w:eastAsia="Aptos" w:hAnsi="Aptos"/>
                <w:color w:val="1A1A1A"/>
                <w:sz w:val="21"/>
                <w:szCs w:val="21"/>
              </w:rPr>
              <w:t xml:space="preserve">Rechtsrahmen nach dem Buch: In Deutschland und Österreich gelten die Umsetzungen der Richtlinie (EU) 2024/825 im Wesentlichen seit 27. September 2026. In der Schweiz gilt Art. 3 Abs. 1 Bst. x UWG. Anwendbarkeit an der geltenden Fassung prüfen.</w:t>
            </w:r>
          </w:p>
        </w:tc>
      </w:tr>
    </w:tbl>
    <w:p>
      <w:pPr>
        <w:spacing w:after="120"/>
      </w:pPr>
    </w:p>
    <w:p>
      <w:pPr>
        <w:keepNext/>
        <w:spacing w:after="120" w:before="280"/>
      </w:pPr>
      <w:r>
        <w:rPr>
          <w:rFonts w:ascii="Aptos" w:cs="Aptos" w:eastAsia="Aptos" w:hAnsi="Aptos"/>
          <w:b/>
          <w:bCs/>
          <w:color w:val="8C5A2B"/>
          <w:sz w:val="26"/>
          <w:szCs w:val="26"/>
        </w:rPr>
        <w:t xml:space="preserve">F. Unterschriften</w:t>
      </w:r>
    </w:p>
    <w:p>
      <w:pPr>
        <w:spacing w:after="140" w:before="0" w:line="300"/>
        <w:jc w:val="both"/>
      </w:pPr>
      <w:r>
        <w:rPr>
          <w:rFonts w:ascii="Aptos" w:cs="Aptos" w:eastAsia="Aptos" w:hAnsi="Aptos"/>
          <w:color w:val="1A1A1A"/>
          <w:sz w:val="21"/>
          <w:szCs w:val="21"/>
        </w:rPr>
        <w:t xml:space="preserve">Ausfüllhinweis: Im Buchfall unterschreibt die Generaldirektion das Protokoll. Die anwesende Vertretung der Eigentümerschaft zeichnet als Zeichen der Übernahme mit.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70"/>
        <w:gridCol w:w="2506"/>
        <w:gridCol w:w="1349"/>
        <w:gridCol w:w="2313"/>
      </w:tblGrid>
      <w:tr>
        <w:trPr>
          <w:tblHeader/>
        </w:trPr>
        <w:tc>
          <w:tcPr>
            <w:tcW w:type="dxa" w:w="347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Funktion</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Name</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Datum</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Unterschrift</w:t>
            </w:r>
          </w:p>
        </w:tc>
      </w:tr>
      <w:tr>
        <w:trPr>
          <w:cantSplit/>
        </w:trPr>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Generaldirektion</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Eigentümerschaft (Vertretung)</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Nachhaltigkeits- bzw. Umweltbeauftragte (Protokoll erstellt, Freigabe Teil E)</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Weitere</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 Vorlage nicht ist</w:t>
      </w:r>
    </w:p>
    <w:p>
      <w:pPr>
        <w:spacing w:after="140" w:before="0" w:line="300"/>
        <w:jc w:val="both"/>
      </w:pPr>
      <w:r>
        <w:rPr>
          <w:rFonts w:ascii="Aptos" w:cs="Aptos" w:eastAsia="Aptos" w:hAnsi="Aptos"/>
          <w:color w:val="1A1A1A"/>
          <w:sz w:val="21"/>
          <w:szCs w:val="21"/>
        </w:rPr>
        <w:t xml:space="preserve">Die Vorlage ersetzt nicht den Normtext der ISO 14001:2026; Eingaben und Ergebnisse sind am Wortlaut von 9.3 zu prüfen. Sie ist keine Rechtsberatung, auch nicht zu Berichtspflichten oder Umweltaussagen. Sie ist an Größe, Organisation und Systemdaten des eigenen Hauses anzupassen. Rechtsstand 9. Oktober 2026.</w:t>
      </w:r>
    </w:p>
    <w:p>
      <w:pPr>
        <w:spacing w:after="140" w:before="0" w:line="300"/>
        <w:jc w:val="left"/>
      </w:pPr>
      <w:r>
        <w:rPr>
          <w:rFonts w:ascii="Aptos" w:cs="Aptos" w:eastAsia="Aptos" w:hAnsi="Aptos"/>
          <w:b/>
          <w:bCs/>
          <w:color w:val="1A1A1A"/>
          <w:sz w:val="21"/>
          <w:szCs w:val="21"/>
        </w:rPr>
        <w:t xml:space="preserve">Bezug im Buch:</w:t>
      </w:r>
      <w:r>
        <w:rPr>
          <w:rFonts w:ascii="Aptos" w:cs="Aptos" w:eastAsia="Aptos" w:hAnsi="Aptos"/>
          <w:color w:val="1A1A1A"/>
          <w:sz w:val="21"/>
          <w:szCs w:val="21"/>
        </w:rPr>
        <w:t xml:space="preserve"> Band 1a, Abschnitt 2.12 (mit Bezügen zu 1.2, 1.6, 1.10 und 1.11)</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2026-10-10T22:12:32.020Z</dcterms:created>
  <dcterms:modified xsi:type="dcterms:W3CDTF">2026-10-10T22:12:32.020Z</dcterms:modified>
</cp:coreProperties>
</file>

<file path=docProps/custom.xml><?xml version="1.0" encoding="utf-8"?>
<Properties xmlns="http://schemas.openxmlformats.org/officeDocument/2006/custom-properties" xmlns:vt="http://schemas.openxmlformats.org/officeDocument/2006/docPropsVTypes"/>
</file>