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VORLAGE ZU ABSCHNITT 2.4</w:t>
      </w:r>
    </w:p>
    <w:p>
      <w:pPr>
        <w:pStyle w:val="Heading1"/>
        <w:spacing w:after="120" w:line="360"/>
      </w:pPr>
      <w:r>
        <w:rPr>
          <w:rFonts w:ascii="Aptos" w:cs="Aptos" w:eastAsia="Aptos" w:hAnsi="Aptos"/>
          <w:b/>
          <w:bCs/>
          <w:color w:val="002060"/>
          <w:sz w:val="36"/>
          <w:szCs w:val="36"/>
        </w:rPr>
        <w:t xml:space="preserve">Register der bindenden Verpflichtungen (Rechtskataster)</w:t>
      </w:r>
    </w:p>
    <w:p>
      <w:pPr>
        <w:spacing w:after="200"/>
      </w:pPr>
      <w:r>
        <w:rPr>
          <w:rFonts w:ascii="Aptos" w:cs="Aptos" w:eastAsia="Aptos" w:hAnsi="Aptos"/>
          <w:i/>
          <w:iCs/>
          <w:color w:val="5A5A5A"/>
          <w:sz w:val="22"/>
          <w:szCs w:val="22"/>
        </w:rPr>
        <w:t xml:space="preserve">Bestandsaufnahme, Register, Bewertung der Einhaltung und Änderungsüberwachung für einen Hotelstandort</w:t>
      </w:r>
    </w:p>
    <w:p>
      <w:pPr>
        <w:pBdr>
          <w:bottom w:val="single" w:color="C9BBA6" w:sz="6" w:space="4"/>
        </w:pBdr>
        <w:spacing w:after="240"/>
      </w:pPr>
      <w:r>
        <w:rPr>
          <w:rFonts w:ascii="Aptos" w:cs="Aptos" w:eastAsia="Aptos" w:hAnsi="Aptos"/>
          <w:color w:val="5A5A5A"/>
          <w:sz w:val="17"/>
          <w:szCs w:val="17"/>
        </w:rPr>
        <w:t xml:space="preserve">Stand: 9. Oktober 2026 · buecher.effedore.com</w:t>
      </w:r>
    </w:p>
    <w:p>
      <w:pPr>
        <w:keepNext/>
        <w:spacing w:after="90" w:before="160"/>
      </w:pPr>
      <w:r>
        <w:rPr>
          <w:rFonts w:ascii="Aptos" w:cs="Aptos" w:eastAsia="Aptos" w:hAnsi="Aptos"/>
          <w:b/>
          <w:bCs/>
          <w:color w:val="5A5A5A"/>
          <w:sz w:val="18"/>
          <w:szCs w:val="18"/>
        </w:rPr>
        <w:t xml:space="preserve">Dokumentkopf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17"/>
        <w:gridCol w:w="2602"/>
        <w:gridCol w:w="2217"/>
        <w:gridCol w:w="2602"/>
      </w:tblGrid>
      <w:tr>
        <w:trPr>
          <w:tblHeader/>
        </w:trPr>
        <w:tc>
          <w:tcPr>
            <w:tcW w:type="dxa" w:w="2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c>
          <w:tcPr>
            <w:tcW w:type="dxa" w:w="2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2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Standort, Land, Gemeinde</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Geltungsbereich des UMS</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Dokumentnummer</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Version</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Datum</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(Name, Funktion)</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Geprüft (Name, Funktion)</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(Name, Funktion)</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Nächste Überprüfung</w:t>
            </w:r>
          </w:p>
        </w:tc>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Zweck. </w:t>
            </w:r>
            <w:r>
              <w:rPr>
                <w:rFonts w:ascii="Aptos" w:cs="Aptos" w:eastAsia="Aptos" w:hAnsi="Aptos"/>
                <w:color w:val="1A1A1A"/>
                <w:sz w:val="21"/>
                <w:szCs w:val="21"/>
              </w:rPr>
              <w:t xml:space="preserve">Diese Vorlage ist das Compliance-Verpflichtungsregister des Hauses als dokumentierte Information. Abschnitt 6.1.3 fordert, die bindenden Verpflichtungen zu bestimmen, ihren Bezug zu den Tätigkeiten festzustellen und sie als dokumentierte Information verfügbar zu halten. Abschnitt 9.1.2 verlangt die Bewertung ihrer Einhaltung.</w:t>
            </w:r>
          </w:p>
          <w:p>
            <w:pPr>
              <w:spacing w:after="0" w:line="300"/>
            </w:pPr>
            <w:r>
              <w:rPr>
                <w:rFonts w:ascii="Aptos" w:cs="Aptos" w:eastAsia="Aptos" w:hAnsi="Aptos"/>
                <w:color w:val="1A1A1A"/>
                <w:sz w:val="21"/>
                <w:szCs w:val="21"/>
              </w:rPr>
              <w:t xml:space="preserve">Für jeden Standort ein eigenes Register führen. Für Deutschland und Österreich Bundes- und Landesrecht getrennt prüfen, für die Schweiz Bundes-, Kantons- und Gemeinderecht.</w:t>
            </w:r>
          </w:p>
        </w:tc>
      </w:tr>
    </w:tbl>
    <w:p>
      <w:pPr>
        <w:spacing w:after="120"/>
      </w:pPr>
    </w:p>
    <w:p>
      <w:pPr>
        <w:keepNext/>
        <w:spacing w:after="120" w:before="280"/>
      </w:pPr>
      <w:r>
        <w:rPr>
          <w:rFonts w:ascii="Aptos" w:cs="Aptos" w:eastAsia="Aptos" w:hAnsi="Aptos"/>
          <w:b/>
          <w:bCs/>
          <w:color w:val="8C5A2B"/>
          <w:sz w:val="26"/>
          <w:szCs w:val="26"/>
        </w:rPr>
        <w:t xml:space="preserve">A · Bestandsaufnahme der Quellen</w:t>
      </w:r>
    </w:p>
    <w:p>
      <w:pPr>
        <w:spacing w:after="140" w:before="0" w:line="300"/>
        <w:jc w:val="both"/>
      </w:pPr>
      <w:r>
        <w:rPr>
          <w:rFonts w:ascii="Aptos" w:cs="Aptos" w:eastAsia="Aptos" w:hAnsi="Aptos"/>
          <w:color w:val="1A1A1A"/>
          <w:sz w:val="21"/>
          <w:szCs w:val="21"/>
        </w:rPr>
        <w:t xml:space="preserve">Ausfüllhinweis: Jede Quelle prüfen und das Ergebnis eintragen. Originaldokumente lesen, keine Zusammenfassungen. Auf Nebenbestimmungen, Auflagen und Befristungen besonders achten. Die genannten Rechtsakte sind Beispiele aus dem Buch; ihre Anwendbarkeit am Standort ist einzeln zu prüfen.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3273"/>
        <w:gridCol w:w="1273"/>
        <w:gridCol w:w="1273"/>
        <w:gridCol w:w="1819"/>
      </w:tblGrid>
      <w:tr>
        <w:trPr>
          <w:tblHeader/>
        </w:trPr>
        <w:tc>
          <w:tcPr>
            <w:tcW w:type="dxa" w:w="200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Quelle der Verpflichtung</w:t>
            </w:r>
          </w:p>
        </w:tc>
        <w:tc>
          <w:tcPr>
            <w:tcW w:type="dxa" w:w="32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Beispiele (nach dem Buch)</w:t>
            </w:r>
          </w:p>
        </w:tc>
        <w:tc>
          <w:tcPr>
            <w:tcW w:type="dxa" w:w="12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Geprüft am / von</w:t>
            </w:r>
          </w:p>
        </w:tc>
        <w:tc>
          <w:tcPr>
            <w:tcW w:type="dxa" w:w="12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Ablage im Haus</w:t>
            </w:r>
          </w:p>
        </w:tc>
        <w:tc>
          <w:tcPr>
            <w:tcW w:type="dxa" w:w="1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Ergebnis, Bemerkung</w:t>
            </w:r>
          </w:p>
        </w:tc>
      </w:tr>
      <w:tr>
        <w:trPr>
          <w:cantSplit/>
        </w:trPr>
        <w:tc>
          <w:tcPr>
            <w:tcW w:type="dxa" w:w="2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EU-Recht, direkt anwendbar (wo anwendbar)</w:t>
            </w:r>
          </w:p>
        </w:tc>
        <w:tc>
          <w:tcPr>
            <w:tcW w:type="dxa" w:w="3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F-Gas-Verordnung (EU) 2024/573, REACH, CLP. In der Schweiz gilt die EU-F-Gas-Verordnung nicht.</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Bundesrecht</w:t>
            </w:r>
          </w:p>
        </w:tc>
        <w:tc>
          <w:tcPr>
            <w:tcW w:type="dxa" w:w="3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 WHG, KrWG, BImSchG, GModG, GefStoffV. A: WRG 1959, AWG 2002. CH: USG, GSchG, GSchV, VVEA, ChemRRV.</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Landesrecht bzw. kantonales Recht</w:t>
            </w:r>
          </w:p>
        </w:tc>
        <w:tc>
          <w:tcPr>
            <w:tcW w:type="dxa" w:w="3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Landeswasserrecht; ergänzende Anforderungen der Umweltbehörden der Länder; kantonales Recht.</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Kommunale Vorgaben, Gemeinderecht</w:t>
            </w:r>
          </w:p>
        </w:tc>
        <w:tc>
          <w:tcPr>
            <w:tcW w:type="dxa" w:w="3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Lärm-, Abwasser-, Grünflächensatzungen.</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Genehmigungen und Bescheide</w:t>
            </w:r>
          </w:p>
        </w:tc>
        <w:tc>
          <w:tcPr>
            <w:tcW w:type="dxa" w:w="3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Einleitungserlaubnis oder Indirekteinleitergenehmigung, weitere Umweltgenehmigungen: jeweils mit allen Nebenbestimmungen, Auflagen und Befristungen.</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Verträge mit Kunden und Partnern</w:t>
            </w:r>
          </w:p>
        </w:tc>
        <w:tc>
          <w:tcPr>
            <w:tcW w:type="dxa" w:w="3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Rahmenvereinbarungen mit Corporate-Kunden mit ESG-Klauseln; Partnerverträge mit Plattformen.</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Freiwillig eingegangene Verpflichtungen</w:t>
            </w:r>
          </w:p>
        </w:tc>
        <w:tc>
          <w:tcPr>
            <w:tcW w:type="dxa" w:w="3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Umweltpolitik, öffentliche Beitritte zu Initiativen, Erklärungen auf der Website.</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Abgrenzung. </w:t>
            </w:r>
            <w:r>
              <w:rPr>
                <w:rFonts w:ascii="Aptos" w:cs="Aptos" w:eastAsia="Aptos" w:hAnsi="Aptos"/>
                <w:color w:val="1A1A1A"/>
                <w:sz w:val="21"/>
                <w:szCs w:val="21"/>
              </w:rPr>
              <w:t xml:space="preserve">Hinweise der Hotelverbände sind nicht ohne Weiteres Rechtsnormen. Eine Anfrage eines Kunden wird nicht automatisch zur Pflicht des Hotels: Sie ist bindend, wenn sie übernommen oder tatsächlich verbindlich ist. Die bloße Nähe zum CSRD-Anwendungsbereich begründet keine eigene Berichtspflicht.</w:t>
            </w:r>
          </w:p>
        </w:tc>
      </w:tr>
    </w:tbl>
    <w:p>
      <w:pPr>
        <w:spacing w:after="120"/>
      </w:pPr>
    </w:p>
    <w:p>
      <w:pPr>
        <w:keepNext/>
        <w:spacing w:after="90" w:before="200"/>
      </w:pPr>
      <w:r>
        <w:rPr>
          <w:rFonts w:ascii="Aptos" w:cs="Aptos" w:eastAsia="Aptos" w:hAnsi="Aptos"/>
          <w:b/>
          <w:bCs/>
          <w:color w:val="002060"/>
          <w:sz w:val="22"/>
          <w:szCs w:val="22"/>
        </w:rPr>
        <w:t xml:space="preserve">A.2 Sachbereiche: Betrifft es unser Haus?</w:t>
      </w:r>
    </w:p>
    <w:p>
      <w:pPr>
        <w:spacing w:after="140" w:before="0" w:line="300"/>
        <w:jc w:val="both"/>
      </w:pPr>
      <w:r>
        <w:rPr>
          <w:rFonts w:ascii="Aptos" w:cs="Aptos" w:eastAsia="Aptos" w:hAnsi="Aptos"/>
          <w:color w:val="1A1A1A"/>
          <w:sz w:val="21"/>
          <w:szCs w:val="21"/>
        </w:rPr>
        <w:t xml:space="preserve">Ausfüllhinweis: Für jeden Sachbereich ankreuzen und die betroffenen Anlagen oder Tätigkeiten nennen. Jeder Bereich mit «ja» oder «prüfen» erzeugt mindestens einen Eintrag in Teil 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41"/>
        <w:gridCol w:w="578"/>
        <w:gridCol w:w="578"/>
        <w:gridCol w:w="675"/>
        <w:gridCol w:w="3566"/>
      </w:tblGrid>
      <w:tr>
        <w:trPr>
          <w:tblHeader/>
        </w:trPr>
        <w:tc>
          <w:tcPr>
            <w:tcW w:type="dxa" w:w="42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Sachbereich</w:t>
            </w:r>
          </w:p>
        </w:tc>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w:t>
            </w:r>
          </w:p>
        </w:tc>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nein</w:t>
            </w:r>
          </w:p>
        </w:tc>
        <w:tc>
          <w:tcPr>
            <w:tcW w:type="dxa" w:w="67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prüfen</w:t>
            </w:r>
          </w:p>
        </w:tc>
        <w:tc>
          <w:tcPr>
            <w:tcW w:type="dxa" w:w="356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Betroffene Anlagen oder Tätigkeiten</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Wasserentnahme und Abwasser (Einleitung, Kläranlage, Indirekteinleitung)</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Abfalltrennung und Entsorgung, gefährliche Abfälle</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Energie und Gebäude (Energieausweis, Heizung, Klimaanlagen)</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Kälteanlagen und fluorierte Treibhausgase</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Emissionen aus Feuerungsanlagen</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Chemikalien und Gefahrstoffe (Reinigung, Spa, Schwimmbad, Küche, Technik)</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Lärm (Außengeräte, Lüftung, Außengastronomie, Veranstaltungen)</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Gewässernutzung und Naturschutz (z. B. Küste, Schutzgebiete)</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Umweltbezogene Aussagen in Werbung und Kommunikation</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Berichts- und Informationspflichten (nur soweit tatsächlich bindend)</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Weitere: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5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A.3 Typische Bereiche je Land (nach dem Buch)</w:t>
      </w:r>
    </w:p>
    <w:p>
      <w:pPr>
        <w:spacing w:after="140" w:before="0" w:line="300"/>
        <w:jc w:val="both"/>
      </w:pPr>
      <w:r>
        <w:rPr>
          <w:rFonts w:ascii="Aptos" w:cs="Aptos" w:eastAsia="Aptos" w:hAnsi="Aptos"/>
          <w:color w:val="1A1A1A"/>
          <w:sz w:val="21"/>
          <w:szCs w:val="21"/>
        </w:rPr>
        <w:t xml:space="preserve">Nur Beispiele aus Band 1a. Die Liste ist nicht vollständig. Fassung, Schwellen und Übergangsrecht an der geltenden Fassung prüfen.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8"/>
        <w:gridCol w:w="8000"/>
      </w:tblGrid>
      <w:tr>
        <w:trPr>
          <w:tblHeader/>
        </w:trPr>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Land</w:t>
            </w:r>
          </w:p>
        </w:tc>
        <w:tc>
          <w:tcPr>
            <w:tcW w:type="dxa" w:w="800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Typische Bereiche</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Deutschland</w:t>
            </w:r>
          </w:p>
        </w:tc>
        <w:tc>
          <w:tcPr>
            <w:tcW w:type="dxa" w:w="8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Abwasser (WHG, AbwV, Landeswasserrecht, Erlaubnis oder Indirekteinleitergenehmigung); Abfall (KrWG, GewAbfV, NachwV); Feuerung (1. BImSchV, ab 1 MW 44. BImSchV); Gebäude (GModG, Klimaanlagen nach § 74 GModG); BEHG; GefStoffV; Lärm (TA Lärm, BImSchG).</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Österreich</w:t>
            </w:r>
          </w:p>
        </w:tc>
        <w:tc>
          <w:tcPr>
            <w:tcW w:type="dxa" w:w="8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Abfall (AWG 2002: Abfallwirtschaftskonzept nach § 10 bei mehr als 20 Arbeitnehmern, Abfallbeauftragter nach § 11 ab 100 Arbeitnehmern); Einleitungen (WRG 1959, Indirekteinleiterverordnung); Landesrecht getrennt.</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Schweiz</w:t>
            </w:r>
          </w:p>
        </w:tc>
        <w:tc>
          <w:tcPr>
            <w:tcW w:type="dxa" w:w="8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Kältemittel (ChemRRV, SR 814.81, Anhang 2.10: Meldepflicht und Wartungsheft über 3 kg, Dichtheitskontrollen); Abfall (VVEA, SR 814.600); Abwasser (GSchG, GSchV); USG; Kantons- und Gemeinderecht getrennt.</w:t>
            </w:r>
          </w:p>
        </w:tc>
      </w:tr>
    </w:tbl>
    <w:p>
      <w:pPr>
        <w:spacing w:after="140"/>
      </w:pPr>
    </w:p>
    <w:p>
      <w:pPr>
        <w:keepNext/>
        <w:spacing w:after="120" w:before="280"/>
      </w:pPr>
      <w:r>
        <w:rPr>
          <w:rFonts w:ascii="Aptos" w:cs="Aptos" w:eastAsia="Aptos" w:hAnsi="Aptos"/>
          <w:b/>
          <w:bCs/>
          <w:color w:val="8C5A2B"/>
          <w:sz w:val="26"/>
          <w:szCs w:val="26"/>
        </w:rPr>
        <w:t xml:space="preserve">B · Register</w:t>
      </w:r>
    </w:p>
    <w:p>
      <w:pPr>
        <w:spacing w:after="140" w:before="0" w:line="300"/>
        <w:jc w:val="both"/>
      </w:pPr>
      <w:r>
        <w:rPr>
          <w:rFonts w:ascii="Aptos" w:cs="Aptos" w:eastAsia="Aptos" w:hAnsi="Aptos"/>
          <w:color w:val="1A1A1A"/>
          <w:sz w:val="21"/>
          <w:szCs w:val="21"/>
        </w:rPr>
        <w:t xml:space="preserve">Ausfüllhinweis: Eine Zeile je konkrete Anforderung, nicht je Gesetz. Das Register hat zwei Blätter mit derselben laufenden Nummer: B.1 erfasst die Verpflichtung, B.2 ihre Erfüllung und Bewertung. Die konkrete Anforderung steht im Rechtsakt oder im Bescheid; sie nicht aus Zusammenfassungen übernehmen.</w:t>
      </w:r>
    </w:p>
    <w:p>
      <w:pPr>
        <w:keepNext/>
        <w:spacing w:after="90" w:before="160"/>
      </w:pPr>
      <w:r>
        <w:rPr>
          <w:rFonts w:ascii="Aptos" w:cs="Aptos" w:eastAsia="Aptos" w:hAnsi="Aptos"/>
          <w:b/>
          <w:bCs/>
          <w:color w:val="5A5A5A"/>
          <w:sz w:val="18"/>
          <w:szCs w:val="18"/>
        </w:rPr>
        <w:t xml:space="preserve">Schlüssel für Kategorie und Kritikalität (Einstufung im Führungsausschuss)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4048"/>
        <w:gridCol w:w="771"/>
        <w:gridCol w:w="4048"/>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Code</w:t>
            </w:r>
          </w:p>
        </w:tc>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Kategorie</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Code</w:t>
            </w:r>
          </w:p>
        </w:tc>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Kritikalität</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Gesetzlich zwingend: Verwaltungs- und Strafkonsequenzen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Hoch: Strafrechtspotenzial oder erhebliche Vertragskonsequenzen</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Vertraglich: Vertragsbruch, Verlust der Geschäftsbeziehung</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Mittel: Verwaltungssanktionen oder Geschäftsbeziehungsverlust</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Freiwillig eingegangen: Reputations- und Greenwashing-Risiko</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Niedrig: Reputationsrisiko</w:t>
            </w:r>
          </w:p>
        </w:tc>
      </w:tr>
    </w:tbl>
    <w:p>
      <w:pPr>
        <w:spacing w:after="140"/>
      </w:pPr>
    </w:p>
    <w:p>
      <w:pPr>
        <w:spacing w:after="140" w:before="0" w:line="300"/>
        <w:jc w:val="both"/>
      </w:pPr>
      <w:r>
        <w:rPr>
          <w:rFonts w:ascii="Aptos" w:cs="Aptos" w:eastAsia="Aptos" w:hAnsi="Aptos"/>
          <w:color w:val="1A1A1A"/>
          <w:sz w:val="19"/>
          <w:szCs w:val="19"/>
        </w:rPr>
        <w:t xml:space="preserve">Bei gesetzlichen Verpflichtungen zusätzlich die Art vermerken: technisch (verifizierbare Grenzwerte), Verfahren (periodische Anforderungen wie Berichte, Anträge, Nachweise) oder Organisation (Sachkunde, Schulung, Registerführung).</w:t>
      </w:r>
    </w:p>
    <w:p>
      <w:pPr>
        <w:keepNext/>
        <w:spacing w:after="90" w:before="160"/>
      </w:pPr>
      <w:r>
        <w:rPr>
          <w:rFonts w:ascii="Aptos" w:cs="Aptos" w:eastAsia="Aptos" w:hAnsi="Aptos"/>
          <w:b/>
          <w:bCs/>
          <w:color w:val="5A5A5A"/>
          <w:sz w:val="18"/>
          <w:szCs w:val="18"/>
        </w:rPr>
        <w:t xml:space="preserve">B.1 Erfassung der Verpflichtungen (erste Zeile: Beispiel, Kompositfall Ostseeküstenhotel,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7"/>
        <w:gridCol w:w="1045"/>
        <w:gridCol w:w="1139"/>
        <w:gridCol w:w="1709"/>
        <w:gridCol w:w="1899"/>
        <w:gridCol w:w="1424"/>
        <w:gridCol w:w="855"/>
        <w:gridCol w:w="950"/>
      </w:tblGrid>
      <w:tr>
        <w:trPr>
          <w:tblHeader/>
        </w:trPr>
        <w:tc>
          <w:tcPr>
            <w:tcW w:type="dxa" w:w="6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Nr.</w:t>
            </w:r>
          </w:p>
        </w:tc>
        <w:tc>
          <w:tcPr>
            <w:tcW w:type="dxa" w:w="10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Bereich</w:t>
            </w:r>
          </w:p>
        </w:tc>
        <w:tc>
          <w:tcPr>
            <w:tcW w:type="dxa" w:w="11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Land / Ebene</w:t>
            </w:r>
          </w:p>
        </w:tc>
        <w:tc>
          <w:tcPr>
            <w:tcW w:type="dxa" w:w="17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Rechtsquelle bzw. Dokument</w:t>
            </w:r>
          </w:p>
        </w:tc>
        <w:tc>
          <w:tcPr>
            <w:tcW w:type="dxa" w:w="18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Konkrete Anforderung</w:t>
            </w:r>
          </w:p>
        </w:tc>
        <w:tc>
          <w:tcPr>
            <w:tcW w:type="dxa" w:w="14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Gilt für (Anlage / Tätigkeit)</w:t>
            </w:r>
          </w:p>
        </w:tc>
        <w:tc>
          <w:tcPr>
            <w:tcW w:type="dxa" w:w="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Gilt seit</w:t>
            </w:r>
          </w:p>
        </w:tc>
        <w:tc>
          <w:tcPr>
            <w:tcW w:type="dxa" w:w="9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Kat. / Krit. / Art</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Bsp.</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Abwasser</w:t>
            </w:r>
          </w:p>
        </w:tc>
        <w:tc>
          <w:tcPr>
            <w:tcW w:type="dxa" w:w="11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D / Bescheid der unteren Wasserbehörde</w:t>
            </w:r>
          </w:p>
        </w:tc>
        <w:tc>
          <w:tcPr>
            <w:tcW w:type="dxa" w:w="17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Wasserrechtliche Erlaubnis nach §§ 8 und 57 WHG (Datum des Bescheids)</w:t>
            </w:r>
          </w:p>
        </w:tc>
        <w:tc>
          <w:tcPr>
            <w:tcW w:type="dxa" w:w="18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Nebenbestimmung: jährliche Vorlage eines Abwasserüberwachungsberichts</w:t>
            </w:r>
          </w:p>
        </w:tc>
        <w:tc>
          <w:tcPr>
            <w:tcW w:type="dxa" w:w="14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Hauseigene Kläranlage, Einleitung des gereinigten Abwassers</w:t>
            </w:r>
          </w:p>
        </w:tc>
        <w:tc>
          <w:tcPr>
            <w:tcW w:type="dxa" w:w="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Datum eintragen</w:t>
            </w:r>
          </w:p>
        </w:tc>
        <w:tc>
          <w:tcPr>
            <w:tcW w:type="dxa" w:w="9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G / H / Verfahren</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1</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4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2</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4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3</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4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4</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4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5</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4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6</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7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4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p>
      <w:pPr>
        <w:keepNext/>
        <w:spacing w:after="90" w:before="160"/>
      </w:pPr>
      <w:r>
        <w:rPr>
          <w:rFonts w:ascii="Aptos" w:cs="Aptos" w:eastAsia="Aptos" w:hAnsi="Aptos"/>
          <w:b/>
          <w:bCs/>
          <w:color w:val="5A5A5A"/>
          <w:sz w:val="18"/>
          <w:szCs w:val="18"/>
        </w:rPr>
        <w:t xml:space="preserve">B.2 Erfüllung und Bewertung (gleiche Nummer wie B.1)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7"/>
        <w:gridCol w:w="1045"/>
        <w:gridCol w:w="1234"/>
        <w:gridCol w:w="1804"/>
        <w:gridCol w:w="1329"/>
        <w:gridCol w:w="1519"/>
        <w:gridCol w:w="2090"/>
      </w:tblGrid>
      <w:tr>
        <w:trPr>
          <w:tblHeader/>
        </w:trPr>
        <w:tc>
          <w:tcPr>
            <w:tcW w:type="dxa" w:w="6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Nr.</w:t>
            </w:r>
          </w:p>
        </w:tc>
        <w:tc>
          <w:tcPr>
            <w:tcW w:type="dxa" w:w="10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Frist / Turnus</w:t>
            </w:r>
          </w:p>
        </w:tc>
        <w:tc>
          <w:tcPr>
            <w:tcW w:type="dxa" w:w="12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Verantwortlich (Rolle)</w:t>
            </w:r>
          </w:p>
        </w:tc>
        <w:tc>
          <w:tcPr>
            <w:tcW w:type="dxa" w:w="18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Nachweis der Erfüllung</w:t>
            </w:r>
          </w:p>
        </w:tc>
        <w:tc>
          <w:tcPr>
            <w:tcW w:type="dxa" w:w="13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Letzte Bewertung (Datum, wer)</w:t>
            </w:r>
          </w:p>
        </w:tc>
        <w:tc>
          <w:tcPr>
            <w:tcW w:type="dxa" w:w="15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Ergebnis</w:t>
            </w:r>
          </w:p>
        </w:tc>
        <w:tc>
          <w:tcPr>
            <w:tcW w:type="dxa" w:w="20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Maßnahme, Frist</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Bsp.</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Jährlich</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Rolle eintragen</w:t>
            </w:r>
          </w:p>
        </w:tc>
        <w:tc>
          <w:tcPr>
            <w:tcW w:type="dxa" w:w="18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Eingangsbestätigung der Behörde je Bericht; Messdaten der Laborkontrolle</w:t>
            </w:r>
          </w:p>
        </w:tc>
        <w:tc>
          <w:tcPr>
            <w:tcW w:type="dxa" w:w="13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Nicht konform: Bericht seit Jahren nicht vorgelegt</w:t>
            </w:r>
          </w:p>
        </w:tc>
        <w:tc>
          <w:tcPr>
            <w:tcW w:type="dxa" w:w="20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Behörde vor jeder Inspektion kontaktieren; Berichte nachreichen; künftige jährliche Vorlage schriftlich zusagen</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1</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0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2</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0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3</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0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4</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0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5</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0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6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6</w:t>
            </w:r>
          </w:p>
        </w:tc>
        <w:tc>
          <w:tcPr>
            <w:tcW w:type="dxa" w:w="10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8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3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0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p>
      <w:pPr>
        <w:spacing w:after="140" w:before="0" w:line="300"/>
        <w:jc w:val="both"/>
      </w:pPr>
      <w:r>
        <w:rPr>
          <w:rFonts w:ascii="Aptos" w:cs="Aptos" w:eastAsia="Aptos" w:hAnsi="Aptos"/>
          <w:color w:val="1A1A1A"/>
          <w:sz w:val="19"/>
          <w:szCs w:val="19"/>
        </w:rPr>
        <w:t xml:space="preserve">Für weitere Einträge die Blätter B.1 und B.2 fortsetzen. Jede Pflicht braucht eine verantwortliche Rolle. Das Wissen darf nicht bei einer einzigen Person liegen.</w:t>
      </w:r>
    </w:p>
    <w:p>
      <w:pPr>
        <w:keepNext/>
        <w:spacing w:after="120" w:before="280"/>
      </w:pPr>
      <w:r>
        <w:rPr>
          <w:rFonts w:ascii="Aptos" w:cs="Aptos" w:eastAsia="Aptos" w:hAnsi="Aptos"/>
          <w:b/>
          <w:bCs/>
          <w:color w:val="8C5A2B"/>
          <w:sz w:val="26"/>
          <w:szCs w:val="26"/>
        </w:rPr>
        <w:t xml:space="preserve">C · Bewertung der Einhaltung</w:t>
      </w:r>
    </w:p>
    <w:p>
      <w:pPr>
        <w:spacing w:after="140" w:before="0" w:line="300"/>
        <w:jc w:val="both"/>
      </w:pPr>
      <w:r>
        <w:rPr>
          <w:rFonts w:ascii="Aptos" w:cs="Aptos" w:eastAsia="Aptos" w:hAnsi="Aptos"/>
          <w:color w:val="1A1A1A"/>
          <w:sz w:val="21"/>
          <w:szCs w:val="21"/>
        </w:rPr>
        <w:t xml:space="preserve">Ausfüllhinweis: Ein Register zeigt, dass das Haus eine Pflicht kennt, nicht dass es sie einhält. Für jede bedeutende Verpflichtung legt das Haus fest, wie oft, von wem und wie die Einhaltung geprüft wird. Die Häufigkeiten nennt das Buch nicht; das Haus legt sie nach der Kritikalität fest.</w:t>
      </w:r>
    </w:p>
    <w:p>
      <w:pPr>
        <w:keepNext/>
        <w:spacing w:after="90" w:before="160"/>
      </w:pPr>
      <w:r>
        <w:rPr>
          <w:rFonts w:ascii="Aptos" w:cs="Aptos" w:eastAsia="Aptos" w:hAnsi="Aptos"/>
          <w:b/>
          <w:bCs/>
          <w:color w:val="5A5A5A"/>
          <w:sz w:val="18"/>
          <w:szCs w:val="18"/>
        </w:rPr>
        <w:t xml:space="preserve">C.1 Prüfkonzept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3084"/>
        <w:gridCol w:w="1638"/>
        <w:gridCol w:w="2024"/>
        <w:gridCol w:w="1543"/>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Kritikalität</w:t>
            </w:r>
          </w:p>
        </w:tc>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Grundsatz nach dem Buch</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Turnus (vom Haus festgelegt)</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Methode</w:t>
            </w:r>
          </w:p>
        </w:tc>
        <w:tc>
          <w:tcPr>
            <w:tcW w:type="dxa" w:w="154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Prüft (Rolle)</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Hoch</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Häufigere und strengere Prüfung; Stichprobe in jedem jährlichen internen Audit</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Mittel</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Prüfung nach Konzept des Hauses</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Niedrig</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Seltener und weniger streng als bei hoher Kritikalität</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19"/>
          <w:szCs w:val="19"/>
        </w:rPr>
        <w:t xml:space="preserve">Mögliche Methoden: Originaldokument und Nebenbestimmungen gegen tatsächliche Praxis abgleichen; Nachweise einsehen (Berichte, Eingangsbestätigungen, Register, Messprotokolle, Rechnungen der Fachbetriebe); Begehung der Anlage; Befragung der Verantwortlichen.</w:t>
      </w:r>
    </w:p>
    <w:p>
      <w:pPr>
        <w:keepNext/>
        <w:spacing w:after="90" w:before="160"/>
      </w:pPr>
      <w:r>
        <w:rPr>
          <w:rFonts w:ascii="Aptos" w:cs="Aptos" w:eastAsia="Aptos" w:hAnsi="Aptos"/>
          <w:b/>
          <w:bCs/>
          <w:color w:val="5A5A5A"/>
          <w:sz w:val="18"/>
          <w:szCs w:val="18"/>
        </w:rPr>
        <w:t xml:space="preserve">C.2 Ergebnisprotokoll (k = konform, tk = teilweise konform, nk = nicht konform)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67"/>
        <w:gridCol w:w="482"/>
        <w:gridCol w:w="1060"/>
        <w:gridCol w:w="1928"/>
        <w:gridCol w:w="964"/>
        <w:gridCol w:w="1542"/>
        <w:gridCol w:w="1928"/>
        <w:gridCol w:w="867"/>
      </w:tblGrid>
      <w:tr>
        <w:trPr>
          <w:tblHeader/>
        </w:trPr>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Datum</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Nr.</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Geprüft von</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Methode, eingesehene Nachweise</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Ergebnis (k / tk / nk)</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Abweichung</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Maßnahme, Frist, verantwortlich</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Erledigt am</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p>
      <w:pPr>
        <w:keepNext/>
        <w:spacing w:after="90" w:before="200"/>
      </w:pPr>
      <w:r>
        <w:rPr>
          <w:rFonts w:ascii="Aptos" w:cs="Aptos" w:eastAsia="Aptos" w:hAnsi="Aptos"/>
          <w:b/>
          <w:bCs/>
          <w:color w:val="002060"/>
          <w:sz w:val="22"/>
          <w:szCs w:val="22"/>
        </w:rPr>
        <w:t xml:space="preserve">C.3 Vorgehen bei festgestellter Nichtkonformität</w:t>
      </w:r>
    </w:p>
    <w:p>
      <w:pPr>
        <w:pStyle w:val="ListParagraph"/>
        <w:numPr>
          <w:ilvl w:val="0"/>
          <w:numId w:val="2"/>
        </w:numPr>
        <w:spacing w:after="70" w:line="290"/>
        <w:jc w:val="left"/>
      </w:pPr>
      <w:r>
        <w:rPr>
          <w:rFonts w:ascii="Aptos" w:cs="Aptos" w:eastAsia="Aptos" w:hAnsi="Aptos"/>
          <w:color w:val="1A1A1A"/>
          <w:sz w:val="21"/>
          <w:szCs w:val="21"/>
        </w:rPr>
        <w:t xml:space="preserve">Sachverhalt dokumentieren: welche Pflicht, seit wann, warum verloren (z. B. Wechsel der Verantwortung).</w:t>
      </w:r>
    </w:p>
    <w:p>
      <w:pPr>
        <w:pStyle w:val="ListParagraph"/>
        <w:numPr>
          <w:ilvl w:val="0"/>
          <w:numId w:val="2"/>
        </w:numPr>
        <w:spacing w:after="70" w:line="290"/>
        <w:jc w:val="left"/>
      </w:pPr>
      <w:r>
        <w:rPr>
          <w:rFonts w:ascii="Aptos" w:cs="Aptos" w:eastAsia="Aptos" w:hAnsi="Aptos"/>
          <w:color w:val="1A1A1A"/>
          <w:sz w:val="21"/>
          <w:szCs w:val="21"/>
        </w:rPr>
        <w:t xml:space="preserve">Leitung informieren und Kategorie sowie Kritikalität bestätigen.</w:t>
      </w:r>
    </w:p>
    <w:p>
      <w:pPr>
        <w:pStyle w:val="ListParagraph"/>
        <w:numPr>
          <w:ilvl w:val="0"/>
          <w:numId w:val="2"/>
        </w:numPr>
        <w:spacing w:after="70" w:line="290"/>
        <w:jc w:val="left"/>
      </w:pPr>
      <w:r>
        <w:rPr>
          <w:rFonts w:ascii="Aptos" w:cs="Aptos" w:eastAsia="Aptos" w:hAnsi="Aptos"/>
          <w:color w:val="1A1A1A"/>
          <w:sz w:val="21"/>
          <w:szCs w:val="21"/>
        </w:rPr>
        <w:t xml:space="preserve">Bei behördlichen Pflichten die zuständige Behörde proaktiv kontaktieren, nicht erst bei einer Inspektion.</w:t>
      </w:r>
    </w:p>
    <w:p>
      <w:pPr>
        <w:pStyle w:val="ListParagraph"/>
        <w:numPr>
          <w:ilvl w:val="0"/>
          <w:numId w:val="2"/>
        </w:numPr>
        <w:spacing w:after="70" w:line="290"/>
        <w:jc w:val="left"/>
      </w:pPr>
      <w:r>
        <w:rPr>
          <w:rFonts w:ascii="Aptos" w:cs="Aptos" w:eastAsia="Aptos" w:hAnsi="Aptos"/>
          <w:color w:val="1A1A1A"/>
          <w:sz w:val="21"/>
          <w:szCs w:val="21"/>
        </w:rPr>
        <w:t xml:space="preserve">Rückstand beheben, soweit möglich auf Basis vorhandener Unterlagen (Messdaten, Rechnungen, Protokolle).</w:t>
      </w:r>
    </w:p>
    <w:p>
      <w:pPr>
        <w:pStyle w:val="ListParagraph"/>
        <w:numPr>
          <w:ilvl w:val="0"/>
          <w:numId w:val="2"/>
        </w:numPr>
        <w:spacing w:after="70" w:line="290"/>
        <w:jc w:val="left"/>
      </w:pPr>
      <w:r>
        <w:rPr>
          <w:rFonts w:ascii="Aptos" w:cs="Aptos" w:eastAsia="Aptos" w:hAnsi="Aptos"/>
          <w:color w:val="1A1A1A"/>
          <w:sz w:val="21"/>
          <w:szCs w:val="21"/>
        </w:rPr>
        <w:t xml:space="preserve">Verfahren für die Zukunft festlegen: Verantwortliche Rolle, Turnus, Nachweis, Eintrag in B.1 und B.2.</w:t>
      </w:r>
    </w:p>
    <w:p>
      <w:pPr>
        <w:pStyle w:val="ListParagraph"/>
        <w:numPr>
          <w:ilvl w:val="0"/>
          <w:numId w:val="2"/>
        </w:numPr>
        <w:spacing w:after="70" w:line="290"/>
        <w:jc w:val="left"/>
      </w:pPr>
      <w:r>
        <w:rPr>
          <w:rFonts w:ascii="Aptos" w:cs="Aptos" w:eastAsia="Aptos" w:hAnsi="Aptos"/>
          <w:color w:val="1A1A1A"/>
          <w:sz w:val="21"/>
          <w:szCs w:val="21"/>
        </w:rPr>
        <w:t xml:space="preserve">Den ganzen Vorgang mit Datum und Belegen ablegen; Ergebnis in die Managementbewertung aufnehmen.</w:t>
      </w:r>
    </w:p>
    <w:p>
      <w:pPr>
        <w:keepNext/>
        <w:spacing w:after="120" w:before="280"/>
      </w:pPr>
      <w:r>
        <w:rPr>
          <w:rFonts w:ascii="Aptos" w:cs="Aptos" w:eastAsia="Aptos" w:hAnsi="Aptos"/>
          <w:b/>
          <w:bCs/>
          <w:color w:val="8C5A2B"/>
          <w:sz w:val="26"/>
          <w:szCs w:val="26"/>
        </w:rPr>
        <w:t xml:space="preserve">D · Änderungsüberwachung</w:t>
      </w:r>
    </w:p>
    <w:p>
      <w:pPr>
        <w:spacing w:after="140" w:before="0" w:line="300"/>
        <w:jc w:val="both"/>
      </w:pPr>
      <w:r>
        <w:rPr>
          <w:rFonts w:ascii="Aptos" w:cs="Aptos" w:eastAsia="Aptos" w:hAnsi="Aptos"/>
          <w:color w:val="1A1A1A"/>
          <w:sz w:val="21"/>
          <w:szCs w:val="21"/>
        </w:rPr>
        <w:t xml:space="preserve">Ausfüllhinweis: Bereiche, die sich schnell entwickeln, quartalsweise prüfen; stabile Bereiche jährlich. Das ganze Register wird in der jährlichen Managementbewertung vollständig überprüft. Jede festgestellte Änderung kommt in das Änderungsprotokoll D.2.</w:t>
      </w:r>
    </w:p>
    <w:p>
      <w:pPr>
        <w:keepNext/>
        <w:spacing w:after="90" w:before="160"/>
      </w:pPr>
      <w:r>
        <w:rPr>
          <w:rFonts w:ascii="Aptos" w:cs="Aptos" w:eastAsia="Aptos" w:hAnsi="Aptos"/>
          <w:b/>
          <w:bCs/>
          <w:color w:val="5A5A5A"/>
          <w:sz w:val="18"/>
          <w:szCs w:val="18"/>
        </w:rPr>
        <w:t xml:space="preserve">D.1 Überwachungsplan (Feld Q1 bis Q4: Datum der Prüfung)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12"/>
        <w:gridCol w:w="1104"/>
        <w:gridCol w:w="2108"/>
        <w:gridCol w:w="1406"/>
        <w:gridCol w:w="502"/>
        <w:gridCol w:w="502"/>
        <w:gridCol w:w="502"/>
        <w:gridCol w:w="502"/>
      </w:tblGrid>
      <w:tr>
        <w:trPr>
          <w:tblHeader/>
        </w:trPr>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Bereich</w:t>
            </w:r>
          </w:p>
        </w:tc>
        <w:tc>
          <w:tcPr>
            <w:tcW w:type="dxa" w:w="11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Turnus</w:t>
            </w:r>
          </w:p>
        </w:tc>
        <w:tc>
          <w:tcPr>
            <w:tcW w:type="dxa" w:w="210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Quelle(n)</w:t>
            </w:r>
          </w:p>
        </w:tc>
        <w:tc>
          <w:tcPr>
            <w:tcW w:type="dxa" w:w="14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5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Q1</w:t>
            </w:r>
          </w:p>
        </w:tc>
        <w:tc>
          <w:tcPr>
            <w:tcW w:type="dxa" w:w="5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Q2</w:t>
            </w:r>
          </w:p>
        </w:tc>
        <w:tc>
          <w:tcPr>
            <w:tcW w:type="dxa" w:w="5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Q3</w:t>
            </w:r>
          </w:p>
        </w:tc>
        <w:tc>
          <w:tcPr>
            <w:tcW w:type="dxa" w:w="5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Q4</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F-Gas-Phasierungsplan (EU-Länder)</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Quartal</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GModG-Heizungsanforderungen und GEG-Übergangsfälle (D)</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Quartal</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CSRD-Umsetzungsschritte (soweit für das Haus relevant)</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Quartal</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Umsetzung der Anti-Greenwashing-Richtlinie</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Quartal</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BEHG-CO2-Preisentwicklung (D); entsprechende Regelungen in A und CH prüfen</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Quartal</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Klimaberichterstattung, Gang der Revision (CH, nur im Anwendungsbereich)</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festlegen</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Stabile Bereiche (Bereich eintragen)</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Jährlich</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5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19"/>
          <w:szCs w:val="19"/>
        </w:rPr>
        <w:t xml:space="preserve">Quellen nach dem Buch: Bundesgesetzblatt und Gesetzblätter der Länder, EU-Amtsblatt, Rundschreiben und Vollzugshinweise von BMWE und BMUKN sowie der Landesbehörden, Rundschreiben der Hotelverbände. Nationale Rechtsportale: gesetze-im-internet.de (D), RIS (A), Fedlex (CH). Kantonale und kommunale Quellen am Standort ergänzen.</w:t>
      </w:r>
    </w:p>
    <w:p>
      <w:pPr>
        <w:keepNext/>
        <w:spacing w:after="90" w:before="160"/>
      </w:pPr>
      <w:r>
        <w:rPr>
          <w:rFonts w:ascii="Aptos" w:cs="Aptos" w:eastAsia="Aptos" w:hAnsi="Aptos"/>
          <w:b/>
          <w:bCs/>
          <w:color w:val="5A5A5A"/>
          <w:sz w:val="18"/>
          <w:szCs w:val="18"/>
        </w:rPr>
        <w:t xml:space="preserve">D.2 Änderungsprotokoll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74"/>
        <w:gridCol w:w="1168"/>
        <w:gridCol w:w="2142"/>
        <w:gridCol w:w="779"/>
        <w:gridCol w:w="876"/>
        <w:gridCol w:w="1558"/>
        <w:gridCol w:w="1168"/>
        <w:gridCol w:w="973"/>
      </w:tblGrid>
      <w:tr>
        <w:trPr>
          <w:tblHeader/>
        </w:trPr>
        <w:tc>
          <w:tcPr>
            <w:tcW w:type="dxa" w:w="9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Festgestellt am</w:t>
            </w:r>
          </w:p>
        </w:tc>
        <w:tc>
          <w:tcPr>
            <w:tcW w:type="dxa" w:w="116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Quelle</w:t>
            </w:r>
          </w:p>
        </w:tc>
        <w:tc>
          <w:tcPr>
            <w:tcW w:type="dxa" w:w="21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Änderung (Kurzbeschreibung)</w:t>
            </w:r>
          </w:p>
        </w:tc>
        <w:tc>
          <w:tcPr>
            <w:tcW w:type="dxa" w:w="77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Betrifft Nr.</w:t>
            </w:r>
          </w:p>
        </w:tc>
        <w:tc>
          <w:tcPr>
            <w:tcW w:type="dxa" w:w="8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Gilt ab</w:t>
            </w:r>
          </w:p>
        </w:tc>
        <w:tc>
          <w:tcPr>
            <w:tcW w:type="dxa" w:w="155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Anpassung im Register</w:t>
            </w:r>
          </w:p>
        </w:tc>
        <w:tc>
          <w:tcPr>
            <w:tcW w:type="dxa" w:w="116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Verantwortlich</w:t>
            </w:r>
          </w:p>
        </w:tc>
        <w:tc>
          <w:tcPr>
            <w:tcW w:type="dxa" w:w="9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5"/>
                <w:szCs w:val="15"/>
              </w:rPr>
              <w:t xml:space="preserve">Erledigt am</w:t>
            </w:r>
          </w:p>
        </w:tc>
      </w:tr>
      <w:tr>
        <w:trPr>
          <w:cantSplit/>
        </w:trPr>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7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7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7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7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7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r>
        <w:trPr>
          <w:cantSplit/>
        </w:trPr>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7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8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55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11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c>
          <w:tcPr>
            <w:tcW w:type="dxa" w:w="9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5"/>
                <w:szCs w:val="15"/>
              </w:rPr>
              <w:t xml:space="preserve"> </w:t>
            </w:r>
          </w:p>
        </w:tc>
      </w:tr>
    </w:tbl>
    <w:p>
      <w:pPr>
        <w:spacing w:after="140"/>
      </w:pPr>
    </w:p>
    <w:p>
      <w:pPr>
        <w:keepNext/>
        <w:spacing w:after="90" w:before="160"/>
      </w:pPr>
      <w:r>
        <w:rPr>
          <w:rFonts w:ascii="Aptos" w:cs="Aptos" w:eastAsia="Aptos" w:hAnsi="Aptos"/>
          <w:b/>
          <w:bCs/>
          <w:color w:val="5A5A5A"/>
          <w:sz w:val="18"/>
          <w:szCs w:val="18"/>
        </w:rPr>
        <w:t xml:space="preserve">D.3 Kennzahlen für die Managementbewertung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1253"/>
        <w:gridCol w:w="1446"/>
        <w:gridCol w:w="2120"/>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Kennzahl (nach dem Buch)</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Wert</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Zeitraum</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Anteil der Registereinträge, die im letzten Quartal auf Aktualität geprüft wurden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Anzahl der laut Konzept durchgeführten Konformitätsverifikationen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Anzahl der vom System selbst erkannten Nichtkonformitäten (positiv, wenn vor Dritten erkannt)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Anzahl der Nichtkonformitäten aus Audits Dritter (zu minimieren)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Vollständigkeit der Compliance-Abschnitte in ESG-Fragebögen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 Vorlage nicht ist</w:t>
      </w:r>
    </w:p>
    <w:p>
      <w:pPr>
        <w:spacing w:after="140" w:before="0" w:line="300"/>
        <w:jc w:val="both"/>
      </w:pPr>
      <w:r>
        <w:rPr>
          <w:rFonts w:ascii="Aptos" w:cs="Aptos" w:eastAsia="Aptos" w:hAnsi="Aptos"/>
          <w:color w:val="1A1A1A"/>
          <w:sz w:val="21"/>
          <w:szCs w:val="21"/>
        </w:rPr>
        <w:t xml:space="preserve">Diese Vorlage ersetzt weder die Norm ISO 14001:2026 noch eine rechtliche Einzelfallprüfung. Sie ist keine Rechtsberatung und keine vollständige Liste der Pflichten eines Hotels. Jedes Haus passt sie an seinen Standort, seine Anlagen und seine Bescheide an. Rechtsstand der genannten Beispiele: 9. Oktober 2026; die geltende Fassung ist stets an den amtlichen Quellen zu prüfen.</w:t>
      </w:r>
    </w:p>
    <w:p>
      <w:pPr>
        <w:spacing w:after="140" w:before="0" w:line="300"/>
        <w:jc w:val="both"/>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Band 1a, Abschnitt 2.4 (mit Abschnitt 2.1 zum Rechtskataster).</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2026-10-10T22:13:53.110Z</dcterms:created>
  <dcterms:modified xsi:type="dcterms:W3CDTF">2026-10-10T22:13:53.111Z</dcterms:modified>
</cp:coreProperties>
</file>

<file path=docProps/custom.xml><?xml version="1.0" encoding="utf-8"?>
<Properties xmlns="http://schemas.openxmlformats.org/officeDocument/2006/custom-properties" xmlns:vt="http://schemas.openxmlformats.org/officeDocument/2006/docPropsVTypes"/>
</file>