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1a · ISO 14001:2026</w:t>
      </w:r>
    </w:p>
    <w:p>
      <w:pPr>
        <w:spacing w:after="200"/>
      </w:pPr>
      <w:r>
        <w:rPr>
          <w:rFonts w:ascii="Aptos" w:cs="Aptos" w:eastAsia="Aptos" w:hAnsi="Aptos"/>
          <w:b/>
          <w:bCs/>
          <w:color w:val="8C5A2B"/>
          <w:sz w:val="18"/>
          <w:szCs w:val="18"/>
        </w:rPr>
        <w:t xml:space="preserve">VORLAGE ZU ABSCHNITT 2.3</w:t>
      </w:r>
    </w:p>
    <w:p>
      <w:pPr>
        <w:pStyle w:val="Heading1"/>
        <w:spacing w:after="120" w:line="360"/>
      </w:pPr>
      <w:r>
        <w:rPr>
          <w:rFonts w:ascii="Aptos" w:cs="Aptos" w:eastAsia="Aptos" w:hAnsi="Aptos"/>
          <w:b/>
          <w:bCs/>
          <w:color w:val="002060"/>
          <w:sz w:val="36"/>
          <w:szCs w:val="36"/>
        </w:rPr>
        <w:t xml:space="preserve">Register der Umweltaspekte mit Bewertung</w:t>
      </w:r>
    </w:p>
    <w:p>
      <w:pPr>
        <w:spacing w:after="200"/>
      </w:pPr>
      <w:r>
        <w:rPr>
          <w:rFonts w:ascii="Aptos" w:cs="Aptos" w:eastAsia="Aptos" w:hAnsi="Aptos"/>
          <w:i/>
          <w:iCs/>
          <w:color w:val="5A5A5A"/>
          <w:sz w:val="22"/>
          <w:szCs w:val="22"/>
        </w:rPr>
        <w:t xml:space="preserve">Identifikation, Wesentlichkeitsbewertung und Monitoringliste nach Abschnitt 6.1.2</w:t>
      </w:r>
    </w:p>
    <w:p>
      <w:pPr>
        <w:pBdr>
          <w:bottom w:val="single" w:color="C9BBA6" w:sz="6" w:space="4"/>
        </w:pBdr>
        <w:spacing w:after="240"/>
      </w:pPr>
      <w:r>
        <w:rPr>
          <w:rFonts w:ascii="Aptos" w:cs="Aptos" w:eastAsia="Aptos" w:hAnsi="Aptos"/>
          <w:color w:val="5A5A5A"/>
          <w:sz w:val="17"/>
          <w:szCs w:val="17"/>
        </w:rPr>
        <w:t xml:space="preserve">Stand: 9. Oktober 2026 · buecher.effedore.com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62"/>
        <w:gridCol w:w="5976"/>
      </w:tblGrid>
      <w:tr>
        <w:trPr>
          <w:tblHeader/>
        </w:trPr>
        <w:tc>
          <w:tcPr>
            <w:tcW w:type="dxa" w:w="366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597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Haus / Standort</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Geltungsbereich des Umweltmanagementsystems</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Dokumentnummer / Version / Datum</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Erstellt (Name, Funktion)</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Geprüft (Name, Funktion)</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Freigegeben durch die Generaldirektion (Name, Datum)</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Nächste planmäßige Überprüfung (Managementbewertung)</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80" w:line="300"/>
            </w:pPr>
            <w:r>
              <w:rPr>
                <w:rFonts w:ascii="Aptos" w:cs="Aptos" w:eastAsia="Aptos" w:hAnsi="Aptos"/>
                <w:b/>
                <w:bCs/>
                <w:color w:val="8C5A2B"/>
                <w:sz w:val="18"/>
                <w:szCs w:val="18"/>
              </w:rPr>
              <w:t xml:space="preserve">Zum Gebrauch </w:t>
            </w:r>
            <w:r>
              <w:rPr>
                <w:rFonts w:ascii="Aptos" w:cs="Aptos" w:eastAsia="Aptos" w:hAnsi="Aptos"/>
                <w:color w:val="1A1A1A"/>
                <w:sz w:val="21"/>
                <w:szCs w:val="21"/>
              </w:rPr>
              <w:t xml:space="preserve">Teil A wird im Führungsausschuss festgelegt und freigegeben, </w:t>
            </w:r>
            <w:r>
              <w:rPr>
                <w:rFonts w:ascii="Aptos" w:cs="Aptos" w:eastAsia="Aptos" w:hAnsi="Aptos"/>
                <w:b/>
                <w:bCs/>
                <w:color w:val="1A1A1A"/>
                <w:sz w:val="21"/>
                <w:szCs w:val="21"/>
              </w:rPr>
              <w:t xml:space="preserve">bevor</w:t>
            </w:r>
            <w:r>
              <w:rPr>
                <w:rFonts w:ascii="Aptos" w:cs="Aptos" w:eastAsia="Aptos" w:hAnsi="Aptos"/>
                <w:color w:val="1A1A1A"/>
                <w:sz w:val="21"/>
                <w:szCs w:val="21"/>
              </w:rPr>
              <w:t xml:space="preserve"> Teil B bewertet wird. Die Methodik wird danach nicht ad hoc angepasst, um gewünschte Einstufungen zu erzielen.</w:t>
            </w:r>
          </w:p>
          <w:p>
            <w:pPr>
              <w:spacing w:after="0" w:line="300"/>
            </w:pPr>
            <w:r>
              <w:rPr>
                <w:rFonts w:ascii="Aptos" w:cs="Aptos" w:eastAsia="Aptos" w:hAnsi="Aptos"/>
                <w:color w:val="1A1A1A"/>
                <w:sz w:val="21"/>
                <w:szCs w:val="21"/>
              </w:rPr>
              <w:t xml:space="preserve">Aspekt und Auswirkung sauber trennen. Der Aspekt ist das, was das Haus tut oder verbraucht. Die Auswirkung ist die daraus folgende Veränderung der Umwelt. Beispiel aus dem Buch: Erdgasverbrauch ist der Aspekt, die CO2-Emissionen sind die Auswirkung.</w:t>
            </w:r>
          </w:p>
        </w:tc>
      </w:tr>
    </w:tbl>
    <w:p>
      <w:pPr>
        <w:spacing w:after="120"/>
      </w:pPr>
    </w:p>
    <w:p>
      <w:pPr>
        <w:keepNext/>
        <w:spacing w:after="120" w:before="280"/>
      </w:pPr>
      <w:r>
        <w:rPr>
          <w:rFonts w:ascii="Aptos" w:cs="Aptos" w:eastAsia="Aptos" w:hAnsi="Aptos"/>
          <w:b/>
          <w:bCs/>
          <w:color w:val="8C5A2B"/>
          <w:sz w:val="26"/>
          <w:szCs w:val="26"/>
        </w:rPr>
        <w:t xml:space="preserve">A. Bewertungskriterien und Wesentlichkeitsschwelle</w:t>
      </w:r>
    </w:p>
    <w:p>
      <w:pPr>
        <w:spacing w:after="140" w:before="0" w:line="300"/>
        <w:jc w:val="both"/>
      </w:pPr>
      <w:r>
        <w:rPr>
          <w:rFonts w:ascii="Aptos" w:cs="Aptos" w:eastAsia="Aptos" w:hAnsi="Aptos"/>
          <w:color w:val="1A1A1A"/>
          <w:sz w:val="21"/>
          <w:szCs w:val="21"/>
        </w:rPr>
        <w:t xml:space="preserve">Ausfüllhinweis: Die Norm schreibt keine bestimmte Methodik vor. Das Haus wählt sie selbst, muss sie aber dokumentieren und vertreten können. Die sechs Kriterien unten sind die, die das Buch als im DACH-Gastgewerbe typisch nennt.</w:t>
      </w:r>
    </w:p>
    <w:p>
      <w:pPr>
        <w:keepNext/>
        <w:spacing w:after="90" w:before="200"/>
      </w:pPr>
      <w:r>
        <w:rPr>
          <w:rFonts w:ascii="Aptos" w:cs="Aptos" w:eastAsia="Aptos" w:hAnsi="Aptos"/>
          <w:b/>
          <w:bCs/>
          <w:color w:val="002060"/>
          <w:sz w:val="22"/>
          <w:szCs w:val="22"/>
        </w:rPr>
        <w:t xml:space="preserve">A.1 Festlegung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62"/>
        <w:gridCol w:w="5976"/>
      </w:tblGrid>
      <w:tr>
        <w:trPr>
          <w:tblHeader/>
        </w:trPr>
        <w:tc>
          <w:tcPr>
            <w:tcW w:type="dxa" w:w="366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597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Sitzung des Führungsausschusses am</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Teilnehmende (Funktionen)</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Art der Methodik</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qualitativ (hoch / mittel / niedrig je Kriterium)   ☐ quantitativ (Punkte je Kriterium mit Berechnungsformel)</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Grund der Wahl (Organisationskultur, Komplexität des Hauses)</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200"/>
      </w:pPr>
      <w:r>
        <w:rPr>
          <w:rFonts w:ascii="Aptos" w:cs="Aptos" w:eastAsia="Aptos" w:hAnsi="Aptos"/>
          <w:b/>
          <w:bCs/>
          <w:color w:val="002060"/>
          <w:sz w:val="22"/>
          <w:szCs w:val="22"/>
        </w:rPr>
        <w:t xml:space="preserve">A.2 Kriterien und Skalen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75"/>
        <w:gridCol w:w="3373"/>
        <w:gridCol w:w="2891"/>
        <w:gridCol w:w="1349"/>
        <w:gridCol w:w="1350"/>
      </w:tblGrid>
      <w:tr>
        <w:trPr>
          <w:tblHeader/>
        </w:trPr>
        <w:tc>
          <w:tcPr>
            <w:tcW w:type="dxa" w:w="67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Nr.</w:t>
            </w:r>
          </w:p>
        </w:tc>
        <w:tc>
          <w:tcPr>
            <w:tcW w:type="dxa" w:w="337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Kriterium</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Stufen bzw. Punkte (vom Haus festzulegen)</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Gewicht (nur quantitativ)</w:t>
            </w:r>
          </w:p>
        </w:tc>
        <w:tc>
          <w:tcPr>
            <w:tcW w:type="dxa" w:w="135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Verwendet ja/nein</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K1</w:t>
            </w:r>
          </w:p>
        </w:tc>
        <w:tc>
          <w:tcPr>
            <w:tcW w:type="dxa" w:w="33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Auswirkungsumfang (lokal / regional / global)</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K2</w:t>
            </w:r>
          </w:p>
        </w:tc>
        <w:tc>
          <w:tcPr>
            <w:tcW w:type="dxa" w:w="33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Auswirkungsschwere (reversibel / teilweise reversibel / irreversibel)</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K3</w:t>
            </w:r>
          </w:p>
        </w:tc>
        <w:tc>
          <w:tcPr>
            <w:tcW w:type="dxa" w:w="33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Eintrittswahrscheinlichkeit unter normalen Bedingungen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K4</w:t>
            </w:r>
          </w:p>
        </w:tc>
        <w:tc>
          <w:tcPr>
            <w:tcW w:type="dxa" w:w="33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Eintrittswahrscheinlichkeit unter Notfallbedingungen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K5</w:t>
            </w:r>
          </w:p>
        </w:tc>
        <w:tc>
          <w:tcPr>
            <w:tcW w:type="dxa" w:w="33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Relevanz für interessierte Parteien (Corporate-Kunden, Behörden, lokale Gemeinschaft, Öffentlichkeit)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K6</w:t>
            </w:r>
          </w:p>
        </w:tc>
        <w:tc>
          <w:tcPr>
            <w:tcW w:type="dxa" w:w="33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Kohärenz mit den Verpflichtungen der Umweltpolitik</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K7</w:t>
            </w:r>
          </w:p>
        </w:tc>
        <w:tc>
          <w:tcPr>
            <w:tcW w:type="dxa" w:w="33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Eigenes Kriterium:</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K8</w:t>
            </w:r>
          </w:p>
        </w:tc>
        <w:tc>
          <w:tcPr>
            <w:tcW w:type="dxa" w:w="33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Eigenes Kriterium:</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200"/>
      </w:pPr>
      <w:r>
        <w:rPr>
          <w:rFonts w:ascii="Aptos" w:cs="Aptos" w:eastAsia="Aptos" w:hAnsi="Aptos"/>
          <w:b/>
          <w:bCs/>
          <w:color w:val="002060"/>
          <w:sz w:val="22"/>
          <w:szCs w:val="22"/>
        </w:rPr>
        <w:t xml:space="preserve">A.3 Gesamtwert und Schwelle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337"/>
        <w:gridCol w:w="5301"/>
      </w:tblGrid>
      <w:tr>
        <w:trPr>
          <w:tblHeader/>
        </w:trPr>
        <w:tc>
          <w:tcPr>
            <w:tcW w:type="dxa" w:w="433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530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Berechnungsformel bzw. Entscheidungsregel für die Gesamtwesentlichkeit</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Wesentlichkeitsschwelle (ab welchem Gesamtwert bzw. welcher Kombination ein Aspekt wesentlich ist)</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Sonderregeln, falls festgelegt</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Plausibilitätsprüfung: Anzahl wesentlicher Aspekte nach der Bewertung</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Methodik freigegeben am / durch</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Änderung der Methodik (Datum, Grund, neue Version)</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spacing w:after="140" w:before="0" w:line="300"/>
        <w:jc w:val="both"/>
      </w:pPr>
      <w:r>
        <w:rPr>
          <w:rFonts w:ascii="Aptos" w:cs="Aptos" w:eastAsia="Aptos" w:hAnsi="Aptos"/>
          <w:color w:val="1A1A1A"/>
          <w:sz w:val="19"/>
          <w:szCs w:val="19"/>
        </w:rPr>
        <w:t xml:space="preserve">Zur Plausibilität nennt das Buch als Richtgröße zehn bis zwanzig wesentliche Aspekte für mittelkomplexe Häuser, nie über dreißig. Das ist eine Orientierung des Buches, keine Normvorgabe.</w:t>
      </w:r>
    </w:p>
    <w:p>
      <w:pPr>
        <w:keepNext/>
        <w:spacing w:after="120" w:before="280"/>
      </w:pPr>
      <w:r>
        <w:rPr>
          <w:rFonts w:ascii="Aptos" w:cs="Aptos" w:eastAsia="Aptos" w:hAnsi="Aptos"/>
          <w:b/>
          <w:bCs/>
          <w:color w:val="8C5A2B"/>
          <w:sz w:val="26"/>
          <w:szCs w:val="26"/>
        </w:rPr>
        <w:t xml:space="preserve">B. Register der Umweltaspekte</w:t>
      </w:r>
    </w:p>
    <w:p>
      <w:pPr>
        <w:keepNext/>
        <w:spacing w:after="90" w:before="200"/>
      </w:pPr>
      <w:r>
        <w:rPr>
          <w:rFonts w:ascii="Aptos" w:cs="Aptos" w:eastAsia="Aptos" w:hAnsi="Aptos"/>
          <w:b/>
          <w:bCs/>
          <w:color w:val="002060"/>
          <w:sz w:val="22"/>
          <w:szCs w:val="22"/>
        </w:rPr>
        <w:t xml:space="preserve">B.0 Betriebsbereiche, Zuständigkeit und Kommunikation</w:t>
      </w:r>
    </w:p>
    <w:p>
      <w:pPr>
        <w:spacing w:after="140" w:before="0" w:line="300"/>
        <w:jc w:val="both"/>
      </w:pPr>
      <w:r>
        <w:rPr>
          <w:rFonts w:ascii="Aptos" w:cs="Aptos" w:eastAsia="Aptos" w:hAnsi="Aptos"/>
          <w:color w:val="1A1A1A"/>
          <w:sz w:val="21"/>
          <w:szCs w:val="21"/>
        </w:rPr>
        <w:t xml:space="preserve">Ausfüllhinweis: Je Bereich identifiziert das zuständige Managementmitglied die Aspekte vorläufig. Die Ergebnisse werden danach im Führungsausschuss zusammengeführt. Die wesentlichen Aspekte des Bereichs werden dem Abteilungsleiter mitgeteilt; das Buch nennt diese Kommunikation als Anforderung von Abschnitt 6.1.2.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67"/>
        <w:gridCol w:w="3181"/>
        <w:gridCol w:w="2120"/>
        <w:gridCol w:w="1542"/>
        <w:gridCol w:w="1928"/>
      </w:tblGrid>
      <w:tr>
        <w:trPr>
          <w:tblHeader/>
        </w:trPr>
        <w:tc>
          <w:tcPr>
            <w:tcW w:type="dxa" w:w="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Kürzel</w:t>
            </w:r>
          </w:p>
        </w:tc>
        <w:tc>
          <w:tcPr>
            <w:tcW w:type="dxa" w:w="318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Betriebsbereich (nach Buch)</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Zuständig für die Identifikation</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Vorläufige Identifikation am</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Wesentliche Aspekte mitgeteilt am / an</w:t>
            </w:r>
          </w:p>
        </w:tc>
      </w:tr>
      <w:tr>
        <w:trPr>
          <w:cantSplit/>
        </w:trPr>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ZH</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Zimmer und Housekeeping (einschließlich Wäsche im Haus)</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GK</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Gastronomie und Küche</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BS</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Bar und Saalservice</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SP</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Spa und Wellnessbereich (falls vorhanden)</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AU</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Außenbereiche, Pools und Gärten</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TW</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Technische Wartung und Anlagen</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VB</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Verwaltung und Büros</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LS</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Lager- und Servicebereiche</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BL</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Beschaffung und Lieferkette (einschließlich ausgelagerter Tätigkeiten, z. B. Wäscherei)</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200"/>
      </w:pPr>
      <w:r>
        <w:rPr>
          <w:rFonts w:ascii="Aptos" w:cs="Aptos" w:eastAsia="Aptos" w:hAnsi="Aptos"/>
          <w:b/>
          <w:bCs/>
          <w:color w:val="002060"/>
          <w:sz w:val="22"/>
          <w:szCs w:val="22"/>
        </w:rPr>
        <w:t xml:space="preserve">B.1 Identifikation</w:t>
      </w:r>
    </w:p>
    <w:p>
      <w:pPr>
        <w:spacing w:after="140" w:before="0" w:line="300"/>
        <w:jc w:val="both"/>
      </w:pPr>
      <w:r>
        <w:rPr>
          <w:rFonts w:ascii="Aptos" w:cs="Aptos" w:eastAsia="Aptos" w:hAnsi="Aptos"/>
          <w:color w:val="1A1A1A"/>
          <w:sz w:val="21"/>
          <w:szCs w:val="21"/>
        </w:rPr>
        <w:t xml:space="preserve">Ausfüllhinweis: Eine Zeile je Aspekt und Bedingung. Bedingung: N = normal, A = anomal, E = Notfall. Ein Aspekt, der im Notfall anders wirkt, erhält eine eigene Zeile. Lebensweg: D = direkte Tätigkeit, V = vorgelagert (Lieferkette), G = nachgelagert (Servicenutzung durch den Gast). Die laufende Nummer gilt auch in B.2 und 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78"/>
        <w:gridCol w:w="1928"/>
        <w:gridCol w:w="1928"/>
        <w:gridCol w:w="1928"/>
        <w:gridCol w:w="867"/>
        <w:gridCol w:w="867"/>
        <w:gridCol w:w="1542"/>
      </w:tblGrid>
      <w:tr>
        <w:trPr>
          <w:tblHeader/>
        </w:trPr>
        <w:tc>
          <w:tcPr>
            <w:tcW w:type="dxa" w:w="57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Nr.</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Bereich / Tätigkeit</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Umweltaspekt</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Umweltauswirkung</w:t>
            </w:r>
          </w:p>
        </w:tc>
        <w:tc>
          <w:tcPr>
            <w:tcW w:type="dxa" w:w="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Beding. N/A/E</w:t>
            </w:r>
          </w:p>
        </w:tc>
        <w:tc>
          <w:tcPr>
            <w:tcW w:type="dxa" w:w="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Lebens-weg D/V/G</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Steuerbar / beeinflussbar</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Bsp.</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Beispiel (Kompositfall, anzupassen). TW: Nachfüllen von Kältemittel in Klimaanlagen</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Kältemittelverlust bei Undichtigkeit</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Klimawirkung des freigesetzten Kältemittels mit hohem GWP</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steuerbar</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2</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3</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4</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5</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7</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8</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9</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10</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200"/>
      </w:pPr>
      <w:r>
        <w:rPr>
          <w:rFonts w:ascii="Aptos" w:cs="Aptos" w:eastAsia="Aptos" w:hAnsi="Aptos"/>
          <w:b/>
          <w:bCs/>
          <w:color w:val="002060"/>
          <w:sz w:val="22"/>
          <w:szCs w:val="22"/>
        </w:rPr>
        <w:t xml:space="preserve">B.2 Bewertung und Einstufung</w:t>
      </w:r>
    </w:p>
    <w:p>
      <w:pPr>
        <w:spacing w:after="140" w:before="0" w:line="300"/>
        <w:jc w:val="both"/>
      </w:pPr>
      <w:r>
        <w:rPr>
          <w:rFonts w:ascii="Aptos" w:cs="Aptos" w:eastAsia="Aptos" w:hAnsi="Aptos"/>
          <w:color w:val="1A1A1A"/>
          <w:sz w:val="21"/>
          <w:szCs w:val="21"/>
        </w:rPr>
        <w:t xml:space="preserve">Ausfüllhinweis: Kriterienwerte nach Teil A eintragen, nicht verwendete Kriterien leer lassen. «wes.» = wesentlich ja/nein nach der Schwelle aus A.3. Die Beispielzeile (Kompositfall, anzupassen) zeigt keine Punkte, weil das Haus die Skalen festlegt. «Verpflichtung» verweist auf die Nummer im Compliance-Register (Abschnitt 2.4). «Maßnahme / Ziel» verweist auf Umweltziel oder Programm (Abschnitt 6.2) bzw. auf die Steuerung.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2"/>
        <w:gridCol w:w="402"/>
        <w:gridCol w:w="402"/>
        <w:gridCol w:w="402"/>
        <w:gridCol w:w="402"/>
        <w:gridCol w:w="402"/>
        <w:gridCol w:w="402"/>
        <w:gridCol w:w="502"/>
        <w:gridCol w:w="602"/>
        <w:gridCol w:w="1807"/>
        <w:gridCol w:w="1506"/>
        <w:gridCol w:w="2207"/>
      </w:tblGrid>
      <w:tr>
        <w:trPr>
          <w:tblHeader/>
        </w:trPr>
        <w:tc>
          <w:tcPr>
            <w:tcW w:type="dxa" w:w="60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Nr.</w:t>
            </w:r>
          </w:p>
        </w:tc>
        <w:tc>
          <w:tcPr>
            <w:tcW w:type="dxa" w:w="40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K1</w:t>
            </w:r>
          </w:p>
        </w:tc>
        <w:tc>
          <w:tcPr>
            <w:tcW w:type="dxa" w:w="40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K2</w:t>
            </w:r>
          </w:p>
        </w:tc>
        <w:tc>
          <w:tcPr>
            <w:tcW w:type="dxa" w:w="40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K3</w:t>
            </w:r>
          </w:p>
        </w:tc>
        <w:tc>
          <w:tcPr>
            <w:tcW w:type="dxa" w:w="40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K4</w:t>
            </w:r>
          </w:p>
        </w:tc>
        <w:tc>
          <w:tcPr>
            <w:tcW w:type="dxa" w:w="40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K5</w:t>
            </w:r>
          </w:p>
        </w:tc>
        <w:tc>
          <w:tcPr>
            <w:tcW w:type="dxa" w:w="40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K6</w:t>
            </w:r>
          </w:p>
        </w:tc>
        <w:tc>
          <w:tcPr>
            <w:tcW w:type="dxa" w:w="50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Σ</w:t>
            </w:r>
          </w:p>
        </w:tc>
        <w:tc>
          <w:tcPr>
            <w:tcW w:type="dxa" w:w="60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wes.</w:t>
            </w:r>
          </w:p>
        </w:tc>
        <w:tc>
          <w:tcPr>
            <w:tcW w:type="dxa" w:w="180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Begründung der Einstufung</w:t>
            </w:r>
          </w:p>
        </w:tc>
        <w:tc>
          <w:tcPr>
            <w:tcW w:type="dxa" w:w="1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Verpflichtung (Nr.)</w:t>
            </w:r>
          </w:p>
        </w:tc>
        <w:tc>
          <w:tcPr>
            <w:tcW w:type="dxa" w:w="220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Maßnahme / Ziel / Programm</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Bsp.</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über Schwelle</w:t>
            </w:r>
          </w:p>
        </w:tc>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ja</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Sehr hohes GWP trotz kleiner Mengen; Nachfüllungen ohne Mengenaufzeichnung</w:t>
            </w:r>
          </w:p>
        </w:tc>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F-Gas-Registerpflicht (an geltender Fassung prüfen)</w:t>
            </w:r>
          </w:p>
        </w:tc>
        <w:tc>
          <w:tcPr>
            <w:tcW w:type="dxa" w:w="22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F-Gas-Register einrichten, Nachfüllungen rekonstruieren, Wartung schulen, Ersatz durch Kältemittel mit geringerem GWP prüfen</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1</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22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2</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22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3</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22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4</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22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5</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22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6</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22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7</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22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8</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22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9</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22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10</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4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22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bl>
    <w:p>
      <w:pPr>
        <w:spacing w:after="140"/>
      </w:pPr>
    </w:p>
    <w:p>
      <w:pPr>
        <w:keepNext/>
        <w:spacing w:after="90" w:before="200"/>
      </w:pPr>
      <w:r>
        <w:rPr>
          <w:rFonts w:ascii="Aptos" w:cs="Aptos" w:eastAsia="Aptos" w:hAnsi="Aptos"/>
          <w:b/>
          <w:bCs/>
          <w:color w:val="002060"/>
          <w:sz w:val="22"/>
          <w:szCs w:val="22"/>
        </w:rPr>
        <w:t xml:space="preserve">B.3 Lebenswegperspektive der wesentlichen Aspekte</w:t>
      </w:r>
    </w:p>
    <w:p>
      <w:pPr>
        <w:spacing w:after="140" w:before="0" w:line="300"/>
        <w:jc w:val="both"/>
      </w:pPr>
      <w:r>
        <w:rPr>
          <w:rFonts w:ascii="Aptos" w:cs="Aptos" w:eastAsia="Aptos" w:hAnsi="Aptos"/>
          <w:color w:val="1A1A1A"/>
          <w:sz w:val="21"/>
          <w:szCs w:val="21"/>
        </w:rPr>
        <w:t xml:space="preserve">Ausfüllhinweis: Für die wesentlichen Aspekte prüfen, ob vorgelagerte oder nachgelagerte Anteile relevant sind. Eine vollständige Lebenszyklusanalyse ist nicht gefordert, wohl aber eine dokumentierte Entscheidung. Das Buch nennt als Prüffelder Lebensmittelbeschaffung, ausgelagerte Wäscherei, weitere externe Dienstleistungen und die Servicenutzung durch den Gast. Die Gästeanreise ist nach dem Buch allenfalls eine gesondert ausgewiesene optionale Position.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75"/>
        <w:gridCol w:w="2410"/>
        <w:gridCol w:w="2120"/>
        <w:gridCol w:w="1928"/>
        <w:gridCol w:w="2505"/>
      </w:tblGrid>
      <w:tr>
        <w:trPr>
          <w:tblHeader/>
        </w:trPr>
        <w:tc>
          <w:tcPr>
            <w:tcW w:type="dxa" w:w="67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Nr.</w:t>
            </w:r>
          </w:p>
        </w:tc>
        <w:tc>
          <w:tcPr>
            <w:tcW w:type="dxa" w:w="241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Vorgelagerter Anteil (Lieferanten, ausgelagerte Leistungen)</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Nachgelagerter Anteil (Servicenutzung)</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Steuerung oder Einfluss des Hauses</w:t>
            </w:r>
          </w:p>
        </w:tc>
        <w:tc>
          <w:tcPr>
            <w:tcW w:type="dxa" w:w="250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Entscheidung und Begründung</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5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5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5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5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5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5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200"/>
      </w:pPr>
      <w:r>
        <w:rPr>
          <w:rFonts w:ascii="Aptos" w:cs="Aptos" w:eastAsia="Aptos" w:hAnsi="Aptos"/>
          <w:b/>
          <w:bCs/>
          <w:color w:val="002060"/>
          <w:sz w:val="22"/>
          <w:szCs w:val="22"/>
        </w:rPr>
        <w:t xml:space="preserve">B.4 Abgleich mit Umweltpolitik und Compliance-Verpflichtungen</w:t>
      </w:r>
    </w:p>
    <w:p>
      <w:pPr>
        <w:spacing w:after="140" w:before="0" w:line="300"/>
        <w:jc w:val="both"/>
      </w:pPr>
      <w:r>
        <w:rPr>
          <w:rFonts w:ascii="Aptos" w:cs="Aptos" w:eastAsia="Aptos" w:hAnsi="Aptos"/>
          <w:color w:val="1A1A1A"/>
          <w:sz w:val="21"/>
          <w:szCs w:val="21"/>
        </w:rPr>
        <w:t xml:space="preserve">Ausfüllhinweis: Jede Politikverpflichtung braucht mindestens einen Aspekt im Register. Jede Compliance-Verpflichtung muss von mindestens einem wesentlichen Aspekt abgedeckt sein. Abweichungen werden durch Anpassung des Registers oder der Politik geschlossen.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867"/>
        <w:gridCol w:w="1542"/>
        <w:gridCol w:w="1928"/>
        <w:gridCol w:w="2410"/>
      </w:tblGrid>
      <w:tr>
        <w:trPr>
          <w:tblHeader/>
        </w:trPr>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Politik- bzw. Compliance-Verpflichtung</w:t>
            </w:r>
          </w:p>
        </w:tc>
        <w:tc>
          <w:tcPr>
            <w:tcW w:type="dxa" w:w="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Art (P / C)</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Zugeordnete Aspekte (Nr.)</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Abweichung</w:t>
            </w:r>
          </w:p>
        </w:tc>
        <w:tc>
          <w:tcPr>
            <w:tcW w:type="dxa" w:w="241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Entscheidung (Register / Politik anpassen), Datum</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C. Monitoringliste der nicht wesentlichen Aspekte</w:t>
      </w:r>
    </w:p>
    <w:p>
      <w:pPr>
        <w:spacing w:after="140" w:before="0" w:line="300"/>
        <w:jc w:val="both"/>
      </w:pPr>
      <w:r>
        <w:rPr>
          <w:rFonts w:ascii="Aptos" w:cs="Aptos" w:eastAsia="Aptos" w:hAnsi="Aptos"/>
          <w:color w:val="1A1A1A"/>
          <w:sz w:val="21"/>
          <w:szCs w:val="21"/>
        </w:rPr>
        <w:t xml:space="preserve">Ausfüllhinweis: Jeder Aspekt unter der Schwelle wird hier mit Begründung geführt und jährlich überprüft. Die Liste ist kein Ablageort für verworfene Aspekte. Ein neuer Regulierungsschwellenwert, ein verändertes Kundschaftsprofil oder ein neues Klimaereignis kann die Einstufung ändern.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71"/>
        <w:gridCol w:w="1735"/>
        <w:gridCol w:w="2313"/>
        <w:gridCol w:w="1928"/>
        <w:gridCol w:w="1446"/>
        <w:gridCol w:w="1445"/>
      </w:tblGrid>
      <w:tr>
        <w:trPr>
          <w:tblHeader/>
        </w:trPr>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Nr. (aus B)</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Umweltaspekt</w:t>
            </w:r>
          </w:p>
        </w:tc>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Begründung «nicht wesentlich»</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Was die Einstufung ändern würde</w:t>
            </w:r>
          </w:p>
        </w:tc>
        <w:tc>
          <w:tcPr>
            <w:tcW w:type="dxa" w:w="144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Überprüft am / Ergebnis</w:t>
            </w:r>
          </w:p>
        </w:tc>
        <w:tc>
          <w:tcPr>
            <w:tcW w:type="dxa" w:w="144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Überprüft am / Ergebnis</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D. Überprüfungsauslöser</w:t>
      </w:r>
    </w:p>
    <w:p>
      <w:pPr>
        <w:spacing w:after="140" w:before="0" w:line="300"/>
        <w:jc w:val="both"/>
      </w:pPr>
      <w:r>
        <w:rPr>
          <w:rFonts w:ascii="Aptos" w:cs="Aptos" w:eastAsia="Aptos" w:hAnsi="Aptos"/>
          <w:color w:val="1A1A1A"/>
          <w:sz w:val="21"/>
          <w:szCs w:val="21"/>
        </w:rPr>
        <w:t xml:space="preserve">Ausfüllhinweis: Das Register wird jährlich in der Managementbewertung überprüft. Außerplanmäßig wird es überprüft, sobald einer der folgenden Auslöser eintritt. Das Buch nennt die Auslöser in Abschnitt 2.3.</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1349"/>
        <w:gridCol w:w="1542"/>
        <w:gridCol w:w="1928"/>
      </w:tblGrid>
      <w:tr>
        <w:trPr>
          <w:tblHeader/>
        </w:trPr>
        <w:tc>
          <w:tcPr>
            <w:tcW w:type="dxa" w:w="48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Auslöser</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Eingetreten am</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Betroffene Aspekte (Nr.)</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Ergebnis, neue Version</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Jährliche Managementbewertung (planmäßig)</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Neuer Betriebsbereich, z. B. Einführung eines Wellnessbereichs</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Neue oder ersetzte Anlagen</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Wechsel eines Lieferanten mit Umweltrelevanz</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Änderung der Menükomposition</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Neuer Regulierungsschwellenwert oder geänderte Compliance-Verpflichtung</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Verändertes Kundschaftsprofil oder neue Anforderungen interessierter Parteien</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Neues Klimaereignis (z. B. Hitzewelle, Trockenheit) oder neue Erkenntnis zu Klimaszenarien</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Neuer wesentlicher Aspekt, den die Umweltpolitik nicht abdeckt, oder Änderung der Politik</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Weiterer Auslöser:</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Was diese Vorlage nicht ist</w:t>
      </w:r>
    </w:p>
    <w:p>
      <w:pPr>
        <w:spacing w:after="140" w:before="0" w:line="300"/>
        <w:jc w:val="both"/>
      </w:pPr>
      <w:r>
        <w:rPr>
          <w:rFonts w:ascii="Aptos" w:cs="Aptos" w:eastAsia="Aptos" w:hAnsi="Aptos"/>
          <w:color w:val="1A1A1A"/>
          <w:sz w:val="21"/>
          <w:szCs w:val="21"/>
        </w:rPr>
        <w:t xml:space="preserve">Diese Vorlage ersetzt nicht die Norm ISO 14001:2026 und gibt ihren Text nicht wieder. Sie ist keine Rechtsberatung; Compliance-Verpflichtungen sind an der geltenden Fassung zu prüfen. Kriterien, Skalen, Schwelle und Bereiche legt das Haus selbst fest und passt sie an seine Struktur an. Rechtsstand ist der 9. Oktober 2026.</w:t>
      </w:r>
    </w:p>
    <w:p>
      <w:pPr>
        <w:spacing w:after="140" w:before="0" w:line="300"/>
        <w:jc w:val="both"/>
      </w:pPr>
      <w:r>
        <w:rPr>
          <w:rFonts w:ascii="Aptos" w:cs="Aptos" w:eastAsia="Aptos" w:hAnsi="Aptos"/>
          <w:b/>
          <w:bCs/>
          <w:color w:val="1A1A1A"/>
          <w:sz w:val="21"/>
          <w:szCs w:val="21"/>
        </w:rPr>
        <w:t xml:space="preserve">Bezug im Buch: Band 1a, Abschnitt 2.3</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1a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2026-10-10T22:12:16.650Z</dcterms:created>
  <dcterms:modified xsi:type="dcterms:W3CDTF">2026-10-10T22:12:16.650Z</dcterms:modified>
</cp:coreProperties>
</file>

<file path=docProps/custom.xml><?xml version="1.0" encoding="utf-8"?>
<Properties xmlns="http://schemas.openxmlformats.org/officeDocument/2006/custom-properties" xmlns:vt="http://schemas.openxmlformats.org/officeDocument/2006/docPropsVTypes"/>
</file>