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ptos" w:cs="Aptos" w:eastAsia="Aptos" w:hAnsi="Aptos"/>
          <w:color w:val="5A5A5A"/>
          <w:sz w:val="18"/>
          <w:szCs w:val="18"/>
        </w:rPr>
        <w:t xml:space="preserve">Das Steuer und die Lupe · Band 1a · ISO 14001:2026</w:t>
      </w:r>
    </w:p>
    <w:p>
      <w:pPr>
        <w:spacing w:after="200"/>
      </w:pPr>
      <w:r>
        <w:rPr>
          <w:rFonts w:ascii="Aptos" w:cs="Aptos" w:eastAsia="Aptos" w:hAnsi="Aptos"/>
          <w:b/>
          <w:bCs/>
          <w:color w:val="8C5A2B"/>
          <w:sz w:val="18"/>
          <w:szCs w:val="18"/>
        </w:rPr>
        <w:t xml:space="preserve">VORLAGE ZU ABSCHNITT 2.6</w:t>
      </w:r>
    </w:p>
    <w:p>
      <w:pPr>
        <w:pStyle w:val="Heading1"/>
        <w:spacing w:after="120" w:line="360"/>
      </w:pPr>
      <w:r>
        <w:rPr>
          <w:rFonts w:ascii="Aptos" w:cs="Aptos" w:eastAsia="Aptos" w:hAnsi="Aptos"/>
          <w:b/>
          <w:bCs/>
          <w:color w:val="002060"/>
          <w:sz w:val="36"/>
          <w:szCs w:val="36"/>
        </w:rPr>
        <w:t xml:space="preserve">Umweltziele und Maßnahmenplan</w:t>
      </w:r>
    </w:p>
    <w:p>
      <w:pPr>
        <w:spacing w:after="200"/>
      </w:pPr>
      <w:r>
        <w:rPr>
          <w:rFonts w:ascii="Aptos" w:cs="Aptos" w:eastAsia="Aptos" w:hAnsi="Aptos"/>
          <w:i/>
          <w:iCs/>
          <w:color w:val="5A5A5A"/>
          <w:sz w:val="22"/>
          <w:szCs w:val="22"/>
        </w:rPr>
        <w:t xml:space="preserve">Zielprüfung, Zieltabelle, Maßnahmenplan, Monitoring-Blatt und Kommunikationsregel</w:t>
      </w:r>
    </w:p>
    <w:p>
      <w:pPr>
        <w:pBdr>
          <w:bottom w:val="single" w:color="C9BBA6" w:sz="6" w:space="4"/>
        </w:pBdr>
        <w:spacing w:after="240"/>
      </w:pPr>
      <w:r>
        <w:rPr>
          <w:rFonts w:ascii="Aptos" w:cs="Aptos" w:eastAsia="Aptos" w:hAnsi="Aptos"/>
          <w:color w:val="5A5A5A"/>
          <w:sz w:val="17"/>
          <w:szCs w:val="17"/>
        </w:rPr>
        <w:t xml:space="preserve">Stand: 9. Oktober 2026 · buecher.effedore.com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64"/>
        <w:gridCol w:w="2557"/>
        <w:gridCol w:w="2360"/>
        <w:gridCol w:w="2557"/>
      </w:tblGrid>
      <w:tr>
        <w:trPr>
          <w:tblHeader/>
        </w:trPr>
        <w:tc>
          <w:tcPr>
            <w:tcW w:type="dxa" w:w="21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Feld</w:t>
            </w:r>
          </w:p>
        </w:tc>
        <w:tc>
          <w:tcPr>
            <w:tcW w:type="dxa" w:w="25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Eintrag</w:t>
            </w:r>
          </w:p>
        </w:tc>
        <w:tc>
          <w:tcPr>
            <w:tcW w:type="dxa" w:w="23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Feld</w:t>
            </w:r>
          </w:p>
        </w:tc>
        <w:tc>
          <w:tcPr>
            <w:tcW w:type="dxa" w:w="25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7"/>
                <w:szCs w:val="17"/>
              </w:rPr>
              <w:t xml:space="preserve">Eintrag</w:t>
            </w:r>
          </w:p>
        </w:tc>
      </w:tr>
      <w:tr>
        <w:trPr>
          <w:cantSplit/>
        </w:trPr>
        <w:tc>
          <w:tcPr>
            <w:tcW w:type="dxa" w:w="21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Haus</w:t>
            </w:r>
          </w:p>
        </w:tc>
        <w:tc>
          <w:tcPr>
            <w:tcW w:type="dxa" w:w="25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3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Erstellt (Name, Funktion)</w:t>
            </w:r>
          </w:p>
        </w:tc>
        <w:tc>
          <w:tcPr>
            <w:tcW w:type="dxa" w:w="25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1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Dokumentnummer / Version</w:t>
            </w:r>
          </w:p>
        </w:tc>
        <w:tc>
          <w:tcPr>
            <w:tcW w:type="dxa" w:w="25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3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Geprüft (Name, Funktion)</w:t>
            </w:r>
          </w:p>
        </w:tc>
        <w:tc>
          <w:tcPr>
            <w:tcW w:type="dxa" w:w="25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1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Datum</w:t>
            </w:r>
          </w:p>
        </w:tc>
        <w:tc>
          <w:tcPr>
            <w:tcW w:type="dxa" w:w="25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3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Freigegeben (Generaldirektion, Datum)</w:t>
            </w:r>
          </w:p>
        </w:tc>
        <w:tc>
          <w:tcPr>
            <w:tcW w:type="dxa" w:w="25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1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7"/>
                <w:szCs w:val="17"/>
              </w:rPr>
              <w:t xml:space="preserve">Planungszeitraum</w:t>
            </w:r>
          </w:p>
        </w:tc>
        <w:tc>
          <w:tcPr>
            <w:tcW w:type="dxa" w:w="25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  <w:tc>
          <w:tcPr>
            <w:tcW w:type="dxa" w:w="23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Nächste Überprüfung</w:t>
            </w:r>
          </w:p>
        </w:tc>
        <w:tc>
          <w:tcPr>
            <w:tcW w:type="dxa" w:w="255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7"/>
                <w:szCs w:val="17"/>
              </w:rPr>
              <w:t xml:space="preserve"> </w:t>
            </w:r>
          </w:p>
        </w:tc>
      </w:tr>
    </w:tbl>
    <w:p>
      <w:pPr>
        <w:spacing w:after="14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single" w:color="8C5A2B" w:sz="24"/>
              <w:bottom w:val="none" w:color="FFFFFF" w:sz="0"/>
              <w:right w:val="none" w:color="FFFFFF" w:sz="0"/>
            </w:tcBorders>
            <w:shd w:fill="EFE7DC" w:color="auto" w:val="clear"/>
            <w:tcMar>
              <w:top w:type="dxa" w:w="100"/>
              <w:left w:type="dxa" w:w="180"/>
              <w:bottom w:type="dxa" w:w="100"/>
              <w:right w:type="dxa" w:w="160"/>
            </w:tcMar>
          </w:tcPr>
          <w:p>
            <w:pPr>
              <w:spacing w:after="0" w:line="300"/>
            </w:pPr>
            <w:r>
              <w:rPr>
                <w:rFonts w:ascii="Aptos" w:cs="Aptos" w:eastAsia="Aptos" w:hAnsi="Aptos"/>
                <w:b/>
                <w:bCs/>
                <w:color w:val="8C5A2B"/>
                <w:sz w:val="18"/>
                <w:szCs w:val="18"/>
              </w:rPr>
              <w:t xml:space="preserve">Ausfüllhinweis </w:t>
            </w:r>
            <w:r>
              <w:rPr>
                <w:rFonts w:ascii="Aptos" w:cs="Aptos" w:eastAsia="Aptos" w:hAnsi="Aptos"/>
                <w:color w:val="1A1A1A"/>
                <w:sz w:val="21"/>
                <w:szCs w:val="21"/>
              </w:rPr>
              <w:t xml:space="preserve">Grundlagen: Umweltpolitik, Register der wesentlichen Umweltaspekte (6.1.2), Compliance-Verpflichtungsregister (6.1.3), Risiken-und-Chancen-Karte (6.1.4), Dekarbonisierungstrajektorie. Die Norm schreibt keine Zahl von Zielen vor; das Buch empfiehlt fünf bis sieben.</w:t>
            </w:r>
          </w:p>
        </w:tc>
      </w:tr>
    </w:tbl>
    <w:p>
      <w:pPr>
        <w:spacing w:after="120"/>
      </w:pPr>
    </w:p>
    <w:p>
      <w:pPr>
        <w:keepNext/>
        <w:spacing w:after="120" w:before="280"/>
      </w:pPr>
      <w:r>
        <w:rPr>
          <w:rFonts w:ascii="Aptos" w:cs="Aptos" w:eastAsia="Aptos" w:hAnsi="Aptos"/>
          <w:b/>
          <w:bCs/>
          <w:color w:val="8C5A2B"/>
          <w:sz w:val="26"/>
          <w:szCs w:val="26"/>
        </w:rPr>
        <w:t xml:space="preserve">A. Zielprüfung</w:t>
      </w:r>
    </w:p>
    <w:p>
      <w:pPr>
        <w:spacing w:after="140" w:before="0" w:line="300"/>
        <w:jc w:val="both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Je Ziel ein Prüfblatt. «Buch» bezeichnet eine Empfehlung des Buches; eine Abweichung davon ist allein keine Nichtkonformität.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6"/>
        <w:gridCol w:w="5622"/>
        <w:gridCol w:w="2610"/>
      </w:tblGrid>
      <w:tr>
        <w:trPr>
          <w:tblHeader/>
        </w:trPr>
        <w:tc>
          <w:tcPr>
            <w:tcW w:type="dxa" w:w="14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Ziel-Nr.</w:t>
            </w:r>
          </w:p>
        </w:tc>
        <w:tc>
          <w:tcPr>
            <w:tcW w:type="dxa" w:w="562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Ziel (Kurzform)</w:t>
            </w:r>
          </w:p>
        </w:tc>
        <w:tc>
          <w:tcPr>
            <w:tcW w:type="dxa" w:w="261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Geprüft von / am</w:t>
            </w:r>
          </w:p>
        </w:tc>
      </w:tr>
      <w:tr>
        <w:trPr>
          <w:cantSplit/>
        </w:trPr>
        <w:tc>
          <w:tcPr>
            <w:tcW w:type="dxa" w:w="14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562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261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</w:tbl>
    <w:p>
      <w:pPr>
        <w:spacing w:after="14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7"/>
        <w:gridCol w:w="4199"/>
        <w:gridCol w:w="2099"/>
        <w:gridCol w:w="1050"/>
        <w:gridCol w:w="1813"/>
      </w:tblGrid>
      <w:tr>
        <w:trPr>
          <w:tblHeader/>
        </w:trPr>
        <w:tc>
          <w:tcPr>
            <w:tcW w:type="dxa" w:w="47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#</w:t>
            </w:r>
          </w:p>
        </w:tc>
        <w:tc>
          <w:tcPr>
            <w:tcW w:type="dxa" w:w="41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Prüfpunkt</w:t>
            </w:r>
          </w:p>
        </w:tc>
        <w:tc>
          <w:tcPr>
            <w:tcW w:type="dxa" w:w="20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Grundlage</w:t>
            </w:r>
          </w:p>
        </w:tc>
        <w:tc>
          <w:tcPr>
            <w:tcW w:type="dxa" w:w="105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ja / nein / teilw.</w:t>
            </w:r>
          </w:p>
        </w:tc>
        <w:tc>
          <w:tcPr>
            <w:tcW w:type="dxa" w:w="18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Nachweis, Fundstelle</w:t>
            </w:r>
          </w:p>
        </w:tc>
      </w:tr>
      <w:tr>
        <w:trPr>
          <w:cantSplit/>
        </w:trPr>
        <w:tc>
          <w:tcPr>
            <w:tcW w:type="dxa" w:w="47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1</w:t>
            </w:r>
          </w:p>
        </w:tc>
        <w:tc>
          <w:tcPr>
            <w:tcW w:type="dxa" w:w="41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Bezug zu wesentlichem Umweltaspekt, Compliance-Verpflichtung oder Risiko/Chance ist benannt (mit Register-ID).</w:t>
            </w:r>
          </w:p>
        </w:tc>
        <w:tc>
          <w:tcPr>
            <w:tcW w:type="dxa" w:w="20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Norm 6.2.1 (berücksichtigen); Buch: dokumentierte Verbindung</w:t>
            </w:r>
          </w:p>
        </w:tc>
        <w:tc>
          <w:tcPr>
            <w:tcW w:type="dxa" w:w="105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8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7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2</w:t>
            </w:r>
          </w:p>
        </w:tc>
        <w:tc>
          <w:tcPr>
            <w:tcW w:type="dxa" w:w="41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Vereinbar mit der Umweltpolitik.</w:t>
            </w:r>
          </w:p>
        </w:tc>
        <w:tc>
          <w:tcPr>
            <w:tcW w:type="dxa" w:w="20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Norm 6.2.1</w:t>
            </w:r>
          </w:p>
        </w:tc>
        <w:tc>
          <w:tcPr>
            <w:tcW w:type="dxa" w:w="105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8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7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3</w:t>
            </w:r>
          </w:p>
        </w:tc>
        <w:tc>
          <w:tcPr>
            <w:tcW w:type="dxa" w:w="41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Messbar: Zahlenwert und Kennzahl mit Einheit festgelegt.</w:t>
            </w:r>
          </w:p>
        </w:tc>
        <w:tc>
          <w:tcPr>
            <w:tcW w:type="dxa" w:w="20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Norm 6.2.1 (soweit praktikabel)</w:t>
            </w:r>
          </w:p>
        </w:tc>
        <w:tc>
          <w:tcPr>
            <w:tcW w:type="dxa" w:w="105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8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7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4</w:t>
            </w:r>
          </w:p>
        </w:tc>
        <w:tc>
          <w:tcPr>
            <w:tcW w:type="dxa" w:w="41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Basisjahr und Basiswert festgelegt; Herkunft des Basiswerts belegt.</w:t>
            </w:r>
          </w:p>
        </w:tc>
        <w:tc>
          <w:tcPr>
            <w:tcW w:type="dxa" w:w="20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Buch</w:t>
            </w:r>
          </w:p>
        </w:tc>
        <w:tc>
          <w:tcPr>
            <w:tcW w:type="dxa" w:w="105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8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7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5</w:t>
            </w:r>
          </w:p>
        </w:tc>
        <w:tc>
          <w:tcPr>
            <w:tcW w:type="dxa" w:w="41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Messmethodik festgelegt (Datenquelle, Häufigkeit, Normierung).</w:t>
            </w:r>
          </w:p>
        </w:tc>
        <w:tc>
          <w:tcPr>
            <w:tcW w:type="dxa" w:w="20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Buch</w:t>
            </w:r>
          </w:p>
        </w:tc>
        <w:tc>
          <w:tcPr>
            <w:tcW w:type="dxa" w:w="105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8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7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6</w:t>
            </w:r>
          </w:p>
        </w:tc>
        <w:tc>
          <w:tcPr>
            <w:tcW w:type="dxa" w:w="41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Maßnahmen festgelegt: was getan wird.</w:t>
            </w:r>
          </w:p>
        </w:tc>
        <w:tc>
          <w:tcPr>
            <w:tcW w:type="dxa" w:w="20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Norm 6.2.2</w:t>
            </w:r>
          </w:p>
        </w:tc>
        <w:tc>
          <w:tcPr>
            <w:tcW w:type="dxa" w:w="105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8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7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7</w:t>
            </w:r>
          </w:p>
        </w:tc>
        <w:tc>
          <w:tcPr>
            <w:tcW w:type="dxa" w:w="41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Ressourcen festgelegt (Personal, Budget, Instrumente), vom kaufm. Direktor bzw. Verwaltung/CFO bestätigt.</w:t>
            </w:r>
          </w:p>
        </w:tc>
        <w:tc>
          <w:tcPr>
            <w:tcW w:type="dxa" w:w="20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Norm 6.2.2; Buch: Bestätigung</w:t>
            </w:r>
          </w:p>
        </w:tc>
        <w:tc>
          <w:tcPr>
            <w:tcW w:type="dxa" w:w="105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8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7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8</w:t>
            </w:r>
          </w:p>
        </w:tc>
        <w:tc>
          <w:tcPr>
            <w:tcW w:type="dxa" w:w="41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Verantwortliche Person benannt.</w:t>
            </w:r>
          </w:p>
        </w:tc>
        <w:tc>
          <w:tcPr>
            <w:tcW w:type="dxa" w:w="20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Norm 6.2.2</w:t>
            </w:r>
          </w:p>
        </w:tc>
        <w:tc>
          <w:tcPr>
            <w:tcW w:type="dxa" w:w="105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8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7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9</w:t>
            </w:r>
          </w:p>
        </w:tc>
        <w:tc>
          <w:tcPr>
            <w:tcW w:type="dxa" w:w="41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Termin festgelegt: wann abgeschlossen.</w:t>
            </w:r>
          </w:p>
        </w:tc>
        <w:tc>
          <w:tcPr>
            <w:tcW w:type="dxa" w:w="20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Norm 6.2.2</w:t>
            </w:r>
          </w:p>
        </w:tc>
        <w:tc>
          <w:tcPr>
            <w:tcW w:type="dxa" w:w="105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8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7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10</w:t>
            </w:r>
          </w:p>
        </w:tc>
        <w:tc>
          <w:tcPr>
            <w:tcW w:type="dxa" w:w="41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Bewertung der Ergebnisse mit Kennzahlen zur Fortschrittsüberwachung festgelegt.</w:t>
            </w:r>
          </w:p>
        </w:tc>
        <w:tc>
          <w:tcPr>
            <w:tcW w:type="dxa" w:w="20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Norm 6.2.2</w:t>
            </w:r>
          </w:p>
        </w:tc>
        <w:tc>
          <w:tcPr>
            <w:tcW w:type="dxa" w:w="105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8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7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11</w:t>
            </w:r>
          </w:p>
        </w:tc>
        <w:tc>
          <w:tcPr>
            <w:tcW w:type="dxa" w:w="41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Nächster kohärenter Schritt der Dekarbonisierungstrajektorie, weder ehrgeiziger noch weniger ehrgeizig.</w:t>
            </w:r>
          </w:p>
        </w:tc>
        <w:tc>
          <w:tcPr>
            <w:tcW w:type="dxa" w:w="20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Buch</w:t>
            </w:r>
          </w:p>
        </w:tc>
        <w:tc>
          <w:tcPr>
            <w:tcW w:type="dxa" w:w="105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8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7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12</w:t>
            </w:r>
          </w:p>
        </w:tc>
        <w:tc>
          <w:tcPr>
            <w:tcW w:type="dxa" w:w="41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Auf relevante Funktionen und Ebenen entfaltet (Abteilungsunterziele, Teil C1).</w:t>
            </w:r>
          </w:p>
        </w:tc>
        <w:tc>
          <w:tcPr>
            <w:tcW w:type="dxa" w:w="20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Norm 6.2.1</w:t>
            </w:r>
          </w:p>
        </w:tc>
        <w:tc>
          <w:tcPr>
            <w:tcW w:type="dxa" w:w="105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8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7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13</w:t>
            </w:r>
          </w:p>
        </w:tc>
        <w:tc>
          <w:tcPr>
            <w:tcW w:type="dxa" w:w="41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Überwachung, Kommunikation und Aktualisierung geregelt; Ziel als dokumentierte Information verfügbar.</w:t>
            </w:r>
          </w:p>
        </w:tc>
        <w:tc>
          <w:tcPr>
            <w:tcW w:type="dxa" w:w="209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Norm 6.2.1</w:t>
            </w:r>
          </w:p>
        </w:tc>
        <w:tc>
          <w:tcPr>
            <w:tcW w:type="dxa" w:w="105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81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</w:tbl>
    <w:p>
      <w:pPr>
        <w:spacing w:after="14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17"/>
        <w:gridCol w:w="1205"/>
        <w:gridCol w:w="4016"/>
      </w:tblGrid>
      <w:tr>
        <w:trPr>
          <w:tblHeader/>
        </w:trPr>
        <w:tc>
          <w:tcPr>
            <w:tcW w:type="dxa" w:w="441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Ergebnis der Prüfung</w:t>
            </w:r>
          </w:p>
        </w:tc>
        <w:tc>
          <w:tcPr>
            <w:tcW w:type="dxa" w:w="120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Ankreuzen</w:t>
            </w:r>
          </w:p>
        </w:tc>
        <w:tc>
          <w:tcPr>
            <w:tcW w:type="dxa" w:w="401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Begründung</w:t>
            </w:r>
          </w:p>
        </w:tc>
      </w:tr>
      <w:tr>
        <w:trPr>
          <w:cantSplit/>
        </w:trPr>
        <w:tc>
          <w:tcPr>
            <w:tcW w:type="dxa" w:w="441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Ziel freigeben</w:t>
            </w:r>
          </w:p>
        </w:tc>
        <w:tc>
          <w:tcPr>
            <w:tcW w:type="dxa" w:w="120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401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41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Ziel überarbeiten (Punkte Nr. …)</w:t>
            </w:r>
          </w:p>
        </w:tc>
        <w:tc>
          <w:tcPr>
            <w:tcW w:type="dxa" w:w="120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401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41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Ziel nicht deklarieren: Ressourcen im Zeithorizont nicht allozierbar</w:t>
            </w:r>
          </w:p>
        </w:tc>
        <w:tc>
          <w:tcPr>
            <w:tcW w:type="dxa" w:w="120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401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441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Ressourcen bestätigt durch kaufm. Direktor bzw. Verwaltung/CFO (Name, Datum, Budgetposition)</w:t>
            </w:r>
          </w:p>
        </w:tc>
        <w:tc>
          <w:tcPr>
            <w:tcW w:type="dxa" w:w="120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401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</w:tbl>
    <w:p>
      <w:pPr>
        <w:spacing w:after="140"/>
      </w:pPr>
    </w:p>
    <w:p>
      <w:pPr>
        <w:keepNext/>
        <w:spacing w:after="90" w:before="200"/>
      </w:pPr>
      <w:r>
        <w:rPr>
          <w:rFonts w:ascii="Aptos" w:cs="Aptos" w:eastAsia="Aptos" w:hAnsi="Aptos"/>
          <w:b/>
          <w:bCs/>
          <w:color w:val="002060"/>
          <w:sz w:val="22"/>
          <w:szCs w:val="22"/>
        </w:rPr>
        <w:t xml:space="preserve">A2 Wesentliche Aspekte ohne formelles Systemziel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10"/>
        <w:gridCol w:w="2610"/>
        <w:gridCol w:w="3012"/>
        <w:gridCol w:w="1606"/>
      </w:tblGrid>
      <w:tr>
        <w:trPr>
          <w:tblHeader/>
        </w:trPr>
        <w:tc>
          <w:tcPr>
            <w:tcW w:type="dxa" w:w="241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Aspekt (Register-ID)</w:t>
            </w:r>
          </w:p>
        </w:tc>
        <w:tc>
          <w:tcPr>
            <w:tcW w:type="dxa" w:w="261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Warum kein Systemziel</w:t>
            </w:r>
          </w:p>
        </w:tc>
        <w:tc>
          <w:tcPr>
            <w:tcW w:type="dxa" w:w="301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Wie überwacht (Kennzahl, Häufigkeit)</w:t>
            </w:r>
          </w:p>
        </w:tc>
        <w:tc>
          <w:tcPr>
            <w:tcW w:type="dxa" w:w="16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8"/>
                <w:szCs w:val="18"/>
              </w:rPr>
              <w:t xml:space="preserve">Verantwortlich</w:t>
            </w:r>
          </w:p>
        </w:tc>
      </w:tr>
      <w:tr>
        <w:trPr>
          <w:cantSplit/>
        </w:trPr>
        <w:tc>
          <w:tcPr>
            <w:tcW w:type="dxa" w:w="241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261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301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6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1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261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301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6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1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261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301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6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1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261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301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6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1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261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301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6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1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261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301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  <w:tc>
          <w:tcPr>
            <w:tcW w:type="dxa" w:w="16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8"/>
                <w:szCs w:val="18"/>
              </w:rPr>
              <w:t xml:space="preserve"> </w:t>
            </w:r>
          </w:p>
        </w:tc>
      </w:tr>
    </w:tbl>
    <w:p>
      <w:pPr>
        <w:spacing w:after="140"/>
      </w:pPr>
    </w:p>
    <w:p>
      <w:pPr>
        <w:keepNext/>
        <w:spacing w:after="120" w:before="280"/>
      </w:pPr>
      <w:r>
        <w:rPr>
          <w:rFonts w:ascii="Aptos" w:cs="Aptos" w:eastAsia="Aptos" w:hAnsi="Aptos"/>
          <w:b/>
          <w:bCs/>
          <w:color w:val="8C5A2B"/>
          <w:sz w:val="26"/>
          <w:szCs w:val="26"/>
        </w:rPr>
        <w:t xml:space="preserve">B. Zieltabelle</w:t>
      </w:r>
    </w:p>
    <w:p>
      <w:pPr>
        <w:spacing w:after="140" w:before="0" w:line="300"/>
        <w:jc w:val="both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Eine Zeile je Systemziel. Die Normierung macht Werte vergleichbar, zum Beispiel pro belegtem Zimmer (HCMI-Kennzahl für Scope 1 und 2) oder kg pro Gedeck bei Lebensmittelabfällen. Wo der Basiswert noch fehlt, Termin der Erhebung eintragen.</w:t>
      </w:r>
    </w:p>
    <w:p>
      <w:pPr>
        <w:keepNext/>
        <w:spacing w:after="90" w:before="160"/>
      </w:pPr>
      <w:r>
        <w:rPr>
          <w:rFonts w:ascii="Aptos" w:cs="Aptos" w:eastAsia="Aptos" w:hAnsi="Aptos"/>
          <w:b/>
          <w:bCs/>
          <w:color w:val="5A5A5A"/>
          <w:sz w:val="18"/>
          <w:szCs w:val="18"/>
        </w:rPr>
        <w:t xml:space="preserve">Erste Zeile: Beispiel (Kompositfall, anzupassen)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50"/>
        <w:gridCol w:w="1606"/>
        <w:gridCol w:w="1606"/>
        <w:gridCol w:w="1890"/>
        <w:gridCol w:w="1228"/>
        <w:gridCol w:w="1228"/>
        <w:gridCol w:w="1230"/>
      </w:tblGrid>
      <w:tr>
        <w:trPr>
          <w:tblHeader/>
        </w:trPr>
        <w:tc>
          <w:tcPr>
            <w:tcW w:type="dxa" w:w="85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5"/>
                <w:szCs w:val="15"/>
              </w:rPr>
              <w:t xml:space="preserve">Nr.</w:t>
            </w:r>
          </w:p>
        </w:tc>
        <w:tc>
          <w:tcPr>
            <w:tcW w:type="dxa" w:w="16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5"/>
                <w:szCs w:val="15"/>
              </w:rPr>
              <w:t xml:space="preserve">Ziel</w:t>
            </w:r>
          </w:p>
        </w:tc>
        <w:tc>
          <w:tcPr>
            <w:tcW w:type="dxa" w:w="16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5"/>
                <w:szCs w:val="15"/>
              </w:rPr>
              <w:t xml:space="preserve">Bezug (Aspekt, Risiko, Verpflichtung)</w:t>
            </w:r>
          </w:p>
        </w:tc>
        <w:tc>
          <w:tcPr>
            <w:tcW w:type="dxa" w:w="189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5"/>
                <w:szCs w:val="15"/>
              </w:rPr>
              <w:t xml:space="preserve">Kennzahl, Einheit, Normierung</w:t>
            </w:r>
          </w:p>
        </w:tc>
        <w:tc>
          <w:tcPr>
            <w:tcW w:type="dxa" w:w="12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5"/>
                <w:szCs w:val="15"/>
              </w:rPr>
              <w:t xml:space="preserve">Basisjahr, Basiswert</w:t>
            </w:r>
          </w:p>
        </w:tc>
        <w:tc>
          <w:tcPr>
            <w:tcW w:type="dxa" w:w="12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5"/>
                <w:szCs w:val="15"/>
              </w:rPr>
              <w:t xml:space="preserve">Zielwert, Termin</w:t>
            </w:r>
          </w:p>
        </w:tc>
        <w:tc>
          <w:tcPr>
            <w:tcW w:type="dxa" w:w="123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5"/>
                <w:szCs w:val="15"/>
              </w:rPr>
              <w:t xml:space="preserve">Zwischenziel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5"/>
                <w:szCs w:val="15"/>
              </w:rPr>
              <w:t xml:space="preserve">Bsp. Z-01</w:t>
            </w:r>
          </w:p>
        </w:tc>
        <w:tc>
          <w:tcPr>
            <w:tcW w:type="dxa" w:w="16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Reduktion der Scope-1-und-2-Emissionen</w:t>
            </w:r>
          </w:p>
        </w:tc>
        <w:tc>
          <w:tcPr>
            <w:tcW w:type="dxa" w:w="16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Kritisches Risiko R-ESG-01; Politikverpflichtung Dekarbonisierungstrajektorie; KlG; SBTi</w:t>
            </w:r>
          </w:p>
        </w:tc>
        <w:tc>
          <w:tcPr>
            <w:tcW w:type="dxa" w:w="189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tCO2e Scope 1+2 absolut, jährlich (ISO 14064-1, HCMI; Scope 2 market-based). Frühindikator: Heizöl und Strom monatlich</w:t>
            </w:r>
          </w:p>
        </w:tc>
        <w:tc>
          <w:tcPr>
            <w:tcW w:type="dxa" w:w="12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2025: 412 tCO2e (318 Scope 1, 94 Scope 2)</w:t>
            </w:r>
          </w:p>
        </w:tc>
        <w:tc>
          <w:tcPr>
            <w:tcW w:type="dxa" w:w="12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288 tCO2e (minus 30 %) bis 31.12.2029</w:t>
            </w:r>
          </w:p>
        </w:tc>
        <w:tc>
          <w:tcPr>
            <w:tcW w:type="dxa" w:w="123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Jahresziel aus der Zielkaskade, vom Haus festzulegen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6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6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89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2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2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23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6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6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89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2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2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23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6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6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89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2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2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23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6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6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89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2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2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23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6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6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89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2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2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23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5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6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6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89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2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2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23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</w:tr>
    </w:tbl>
    <w:p>
      <w:pPr>
        <w:spacing w:after="140"/>
      </w:pPr>
    </w:p>
    <w:p>
      <w:pPr>
        <w:keepNext/>
        <w:spacing w:after="120" w:before="280"/>
      </w:pPr>
      <w:r>
        <w:rPr>
          <w:rFonts w:ascii="Aptos" w:cs="Aptos" w:eastAsia="Aptos" w:hAnsi="Aptos"/>
          <w:b/>
          <w:bCs/>
          <w:color w:val="8C5A2B"/>
          <w:sz w:val="26"/>
          <w:szCs w:val="26"/>
        </w:rPr>
        <w:t xml:space="preserve">C. Maßnahmenplan je Ziel</w:t>
      </w:r>
    </w:p>
    <w:p>
      <w:pPr>
        <w:spacing w:after="140" w:before="0" w:line="300"/>
        <w:jc w:val="both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Je Maßnahme eine Zeile, nach Ziel-Nr. geordnet. Status: geplant, läuft, abgeschlossen, verzögert, gestoppt. Bei «verzögert» und «gestoppt» die Folge für das Ziel in Teil D vermerken.</w:t>
      </w:r>
    </w:p>
    <w:p>
      <w:pPr>
        <w:keepNext/>
        <w:spacing w:after="90" w:before="160"/>
      </w:pPr>
      <w:r>
        <w:rPr>
          <w:rFonts w:ascii="Aptos" w:cs="Aptos" w:eastAsia="Aptos" w:hAnsi="Aptos"/>
          <w:b/>
          <w:bCs/>
          <w:color w:val="5A5A5A"/>
          <w:sz w:val="18"/>
          <w:szCs w:val="18"/>
        </w:rPr>
        <w:t xml:space="preserve">Erste Zeile: Beispiel (Kompositfall, anzupassen)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76"/>
        <w:gridCol w:w="2726"/>
        <w:gridCol w:w="1363"/>
        <w:gridCol w:w="2142"/>
        <w:gridCol w:w="779"/>
        <w:gridCol w:w="779"/>
        <w:gridCol w:w="973"/>
      </w:tblGrid>
      <w:tr>
        <w:trPr>
          <w:tblHeader/>
        </w:trPr>
        <w:tc>
          <w:tcPr>
            <w:tcW w:type="dxa" w:w="87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5"/>
                <w:szCs w:val="15"/>
              </w:rPr>
              <w:t xml:space="preserve">Ziel-Nr.</w:t>
            </w:r>
          </w:p>
        </w:tc>
        <w:tc>
          <w:tcPr>
            <w:tcW w:type="dxa" w:w="272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5"/>
                <w:szCs w:val="15"/>
              </w:rPr>
              <w:t xml:space="preserve">Maßnahme (was)</w:t>
            </w:r>
          </w:p>
        </w:tc>
        <w:tc>
          <w:tcPr>
            <w:tcW w:type="dxa" w:w="136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5"/>
                <w:szCs w:val="15"/>
              </w:rPr>
              <w:t xml:space="preserve">Verantwortlich</w:t>
            </w:r>
          </w:p>
        </w:tc>
        <w:tc>
          <w:tcPr>
            <w:tcW w:type="dxa" w:w="21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5"/>
                <w:szCs w:val="15"/>
              </w:rPr>
              <w:t xml:space="preserve">Ressourcen, Budget</w:t>
            </w:r>
          </w:p>
        </w:tc>
        <w:tc>
          <w:tcPr>
            <w:tcW w:type="dxa" w:w="77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5"/>
                <w:szCs w:val="15"/>
              </w:rPr>
              <w:t xml:space="preserve">Start</w:t>
            </w:r>
          </w:p>
        </w:tc>
        <w:tc>
          <w:tcPr>
            <w:tcW w:type="dxa" w:w="77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5"/>
                <w:szCs w:val="15"/>
              </w:rPr>
              <w:t xml:space="preserve">Ende</w:t>
            </w:r>
          </w:p>
        </w:tc>
        <w:tc>
          <w:tcPr>
            <w:tcW w:type="dxa" w:w="97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5"/>
                <w:szCs w:val="15"/>
              </w:rPr>
              <w:t xml:space="preserve">Status</w:t>
            </w:r>
          </w:p>
        </w:tc>
      </w:tr>
      <w:tr>
        <w:trPr>
          <w:cantSplit/>
        </w:trPr>
        <w:tc>
          <w:tcPr>
            <w:tcW w:type="dxa" w:w="87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5"/>
                <w:szCs w:val="15"/>
              </w:rPr>
              <w:t xml:space="preserve">Bsp. Z-01</w:t>
            </w:r>
          </w:p>
        </w:tc>
        <w:tc>
          <w:tcPr>
            <w:tcW w:type="dxa" w:w="272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Umrüstung des Hauptheizsystems von Heizöl auf Erdwärme-Wärmepumpe</w:t>
            </w:r>
          </w:p>
        </w:tc>
        <w:tc>
          <w:tcPr>
            <w:tcW w:type="dxa" w:w="136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Haustechnikleiter</w:t>
            </w:r>
          </w:p>
        </w:tc>
        <w:tc>
          <w:tcPr>
            <w:tcW w:type="dxa" w:w="21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420.000 CHF, Kapitalausgabenplan 2026 bis 2027; 30 % Zeitwidmung in der Projektphase</w:t>
            </w:r>
          </w:p>
        </w:tc>
        <w:tc>
          <w:tcPr>
            <w:tcW w:type="dxa" w:w="77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Q2 2027</w:t>
            </w:r>
          </w:p>
        </w:tc>
        <w:tc>
          <w:tcPr>
            <w:tcW w:type="dxa" w:w="77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Q4 2027</w:t>
            </w:r>
          </w:p>
        </w:tc>
        <w:tc>
          <w:tcPr>
            <w:tcW w:type="dxa" w:w="97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geplant</w:t>
            </w:r>
          </w:p>
        </w:tc>
      </w:tr>
      <w:tr>
        <w:trPr>
          <w:cantSplit/>
        </w:trPr>
        <w:tc>
          <w:tcPr>
            <w:tcW w:type="dxa" w:w="87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272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36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21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77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77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97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7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272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36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21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77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77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97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7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272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36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21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77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77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97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7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272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36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21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77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77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97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7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272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36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21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77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77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97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7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272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36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21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77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77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97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87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272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36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21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77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77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97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</w:tr>
    </w:tbl>
    <w:p>
      <w:pPr>
        <w:spacing w:after="140"/>
      </w:pPr>
    </w:p>
    <w:p>
      <w:pPr>
        <w:keepNext/>
        <w:spacing w:after="90" w:before="200"/>
      </w:pPr>
      <w:r>
        <w:rPr>
          <w:rFonts w:ascii="Aptos" w:cs="Aptos" w:eastAsia="Aptos" w:hAnsi="Aptos"/>
          <w:b/>
          <w:bCs/>
          <w:color w:val="002060"/>
          <w:sz w:val="22"/>
          <w:szCs w:val="22"/>
        </w:rPr>
        <w:t xml:space="preserve">C1 Entfaltung nach Funktion und Ebene</w:t>
      </w:r>
    </w:p>
    <w:p>
      <w:pPr>
        <w:spacing w:after="140" w:before="0" w:line="300"/>
        <w:jc w:val="both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Jedes Systemziel in Abteilungsunterziele übersetzen; der Bereichsleiter bestätigt mit Unterschrift.</w:t>
      </w:r>
    </w:p>
    <w:p>
      <w:pPr>
        <w:keepNext/>
        <w:spacing w:after="90" w:before="160"/>
      </w:pPr>
      <w:r>
        <w:rPr>
          <w:rFonts w:ascii="Aptos" w:cs="Aptos" w:eastAsia="Aptos" w:hAnsi="Aptos"/>
          <w:b/>
          <w:bCs/>
          <w:color w:val="5A5A5A"/>
          <w:sz w:val="18"/>
          <w:szCs w:val="18"/>
        </w:rPr>
        <w:t xml:space="preserve">Erste Zeile: Beispiel (Kompositfall, anzupassen)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4"/>
        <w:gridCol w:w="2008"/>
        <w:gridCol w:w="3614"/>
        <w:gridCol w:w="1506"/>
        <w:gridCol w:w="1506"/>
      </w:tblGrid>
      <w:tr>
        <w:trPr>
          <w:tblHeader/>
        </w:trPr>
        <w:tc>
          <w:tcPr>
            <w:tcW w:type="dxa" w:w="100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Ziel-Nr.</w:t>
            </w:r>
          </w:p>
        </w:tc>
        <w:tc>
          <w:tcPr>
            <w:tcW w:type="dxa" w:w="200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Abteilung</w:t>
            </w:r>
          </w:p>
        </w:tc>
        <w:tc>
          <w:tcPr>
            <w:tcW w:type="dxa" w:w="361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Unterziel, Beitrag</w:t>
            </w:r>
          </w:p>
        </w:tc>
        <w:tc>
          <w:tcPr>
            <w:tcW w:type="dxa" w:w="15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Bereichsleiter</w:t>
            </w:r>
          </w:p>
        </w:tc>
        <w:tc>
          <w:tcPr>
            <w:tcW w:type="dxa" w:w="15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Unterschrift, Datum</w:t>
            </w:r>
          </w:p>
        </w:tc>
      </w:tr>
      <w:tr>
        <w:trPr>
          <w:cantSplit/>
        </w:trPr>
        <w:tc>
          <w:tcPr>
            <w:tcW w:type="dxa" w:w="100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Bsp. Z-01</w:t>
            </w:r>
          </w:p>
        </w:tc>
        <w:tc>
          <w:tcPr>
            <w:tcW w:type="dxa" w:w="200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Haustechnik; Housekeeping; Restaurant</w:t>
            </w:r>
          </w:p>
        </w:tc>
        <w:tc>
          <w:tcPr>
            <w:tcW w:type="dxa" w:w="361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Heizsystemeffizienz; Energieverbrauch Wäsche; Küchengeräteeffizienz (Werte vom Haus festzulegen)</w:t>
            </w:r>
          </w:p>
        </w:tc>
        <w:tc>
          <w:tcPr>
            <w:tcW w:type="dxa" w:w="15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00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00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361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00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00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361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00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00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361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00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00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361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00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00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361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00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00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361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</w:tbl>
    <w:p>
      <w:pPr>
        <w:spacing w:after="140"/>
      </w:pPr>
    </w:p>
    <w:p>
      <w:pPr>
        <w:keepNext/>
        <w:spacing w:after="120" w:before="280"/>
      </w:pPr>
      <w:r>
        <w:rPr>
          <w:rFonts w:ascii="Aptos" w:cs="Aptos" w:eastAsia="Aptos" w:hAnsi="Aptos"/>
          <w:b/>
          <w:bCs/>
          <w:color w:val="8C5A2B"/>
          <w:sz w:val="26"/>
          <w:szCs w:val="26"/>
        </w:rPr>
        <w:t xml:space="preserve">D. Monitoring-Blatt</w:t>
      </w:r>
    </w:p>
    <w:p>
      <w:pPr>
        <w:spacing w:after="140" w:before="0" w:line="300"/>
        <w:jc w:val="both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Ein Blatt je Kennzahl. «Soll» ist der Wert der Zielkurve für die Periode. Bei jeder Abweichung die Ursache zuordnen: Belegung, Saison oder Witterung, technische Maßnahme, Betriebsverhalten, Datenfehler. Eine Reduktion, die auf geringere Belegung zurückgeht, zählt nicht als Systemfortschritt.</w:t>
      </w:r>
    </w:p>
    <w:p>
      <w:pPr>
        <w:keepNext/>
        <w:spacing w:after="90" w:before="160"/>
      </w:pPr>
      <w:r>
        <w:rPr>
          <w:rFonts w:ascii="Aptos" w:cs="Aptos" w:eastAsia="Aptos" w:hAnsi="Aptos"/>
          <w:b/>
          <w:bCs/>
          <w:color w:val="5A5A5A"/>
          <w:sz w:val="18"/>
          <w:szCs w:val="18"/>
        </w:rPr>
        <w:t xml:space="preserve">Kopf des Blattes; erste Zeile: Beispiel (Kompositfall, anzupassen)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4"/>
        <w:gridCol w:w="2610"/>
        <w:gridCol w:w="1707"/>
        <w:gridCol w:w="1104"/>
        <w:gridCol w:w="1707"/>
        <w:gridCol w:w="1506"/>
      </w:tblGrid>
      <w:tr>
        <w:trPr>
          <w:tblHeader/>
        </w:trPr>
        <w:tc>
          <w:tcPr>
            <w:tcW w:type="dxa" w:w="100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Ziel-Nr.</w:t>
            </w:r>
          </w:p>
        </w:tc>
        <w:tc>
          <w:tcPr>
            <w:tcW w:type="dxa" w:w="261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Kennzahl, Einheit, Normierung</w:t>
            </w:r>
          </w:p>
        </w:tc>
        <w:tc>
          <w:tcPr>
            <w:tcW w:type="dxa" w:w="170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Datenquelle</w:t>
            </w:r>
          </w:p>
        </w:tc>
        <w:tc>
          <w:tcPr>
            <w:tcW w:type="dxa" w:w="110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Häufigkeit</w:t>
            </w:r>
          </w:p>
        </w:tc>
        <w:tc>
          <w:tcPr>
            <w:tcW w:type="dxa" w:w="170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Datenverantwortlich</w:t>
            </w:r>
          </w:p>
        </w:tc>
        <w:tc>
          <w:tcPr>
            <w:tcW w:type="dxa" w:w="15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Zielwert, Termin</w:t>
            </w:r>
          </w:p>
        </w:tc>
      </w:tr>
      <w:tr>
        <w:trPr>
          <w:cantSplit/>
        </w:trPr>
        <w:tc>
          <w:tcPr>
            <w:tcW w:type="dxa" w:w="100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Bsp. Z-01</w:t>
            </w:r>
          </w:p>
        </w:tc>
        <w:tc>
          <w:tcPr>
            <w:tcW w:type="dxa" w:w="261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Heizölverbrauch, Liter; ergänzend pro belegtem Zimmer</w:t>
            </w:r>
          </w:p>
        </w:tc>
        <w:tc>
          <w:tcPr>
            <w:tcW w:type="dxa" w:w="170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Lieferantenrechnungen</w:t>
            </w:r>
          </w:p>
        </w:tc>
        <w:tc>
          <w:tcPr>
            <w:tcW w:type="dxa" w:w="110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monatlich</w:t>
            </w:r>
          </w:p>
        </w:tc>
        <w:tc>
          <w:tcPr>
            <w:tcW w:type="dxa" w:w="170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Nachhaltigkeitsbeauftragte</w:t>
            </w:r>
          </w:p>
        </w:tc>
        <w:tc>
          <w:tcPr>
            <w:tcW w:type="dxa" w:w="15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Frühindikator zu Z-01</w:t>
            </w:r>
          </w:p>
        </w:tc>
      </w:tr>
      <w:tr>
        <w:trPr>
          <w:cantSplit/>
        </w:trPr>
        <w:tc>
          <w:tcPr>
            <w:tcW w:type="dxa" w:w="100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61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0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0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0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50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</w:tbl>
    <w:p>
      <w:pPr>
        <w:spacing w:after="14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42"/>
        <w:gridCol w:w="964"/>
        <w:gridCol w:w="964"/>
        <w:gridCol w:w="1349"/>
        <w:gridCol w:w="1928"/>
        <w:gridCol w:w="2120"/>
        <w:gridCol w:w="771"/>
      </w:tblGrid>
      <w:tr>
        <w:trPr>
          <w:tblHeader/>
        </w:trPr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Periode (Monat / Quartal)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Soll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Ist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Abweichung (absolut, %)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Ursache</w:t>
            </w:r>
          </w:p>
        </w:tc>
        <w:tc>
          <w:tcPr>
            <w:tcW w:type="dxa" w:w="21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Korrektur, Maßnahme</w:t>
            </w:r>
          </w:p>
        </w:tc>
        <w:tc>
          <w:tcPr>
            <w:tcW w:type="dxa" w:w="77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Kürzel</w:t>
            </w:r>
          </w:p>
        </w:tc>
      </w:tr>
      <w:tr>
        <w:trPr>
          <w:cantSplit/>
        </w:trPr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1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77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1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77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1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77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1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77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1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77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1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77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1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77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1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77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1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77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1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77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1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77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54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96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34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92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12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771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</w:tbl>
    <w:p>
      <w:pPr>
        <w:spacing w:after="140"/>
      </w:pPr>
    </w:p>
    <w:p>
      <w:pPr>
        <w:keepNext/>
        <w:spacing w:after="90" w:before="200"/>
      </w:pPr>
      <w:r>
        <w:rPr>
          <w:rFonts w:ascii="Aptos" w:cs="Aptos" w:eastAsia="Aptos" w:hAnsi="Aptos"/>
          <w:b/>
          <w:bCs/>
          <w:color w:val="002060"/>
          <w:sz w:val="22"/>
          <w:szCs w:val="22"/>
        </w:rPr>
        <w:t xml:space="preserve">D2 Halbjährliche Fortschrittsüberprüfung und jährliche Revision</w:t>
      </w:r>
    </w:p>
    <w:p>
      <w:pPr>
        <w:spacing w:after="140" w:before="0" w:line="300"/>
        <w:jc w:val="both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Das Ergebnis geht als Input in die Managementbewertung nach 9.3.2. Nach 6.2.1 sind Ziele bei Bedarf zu aktualisieren; der jährliche Rhythmus ist die Wahl des Buches. *Entscheidung: beibehalten, anpassen, ersetzen oder abschließen.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83"/>
        <w:gridCol w:w="1770"/>
        <w:gridCol w:w="1672"/>
        <w:gridCol w:w="1672"/>
        <w:gridCol w:w="1672"/>
        <w:gridCol w:w="1869"/>
      </w:tblGrid>
      <w:tr>
        <w:trPr>
          <w:tblHeader/>
        </w:trPr>
        <w:tc>
          <w:tcPr>
            <w:tcW w:type="dxa" w:w="98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Ziel-Nr.</w:t>
            </w:r>
          </w:p>
        </w:tc>
        <w:tc>
          <w:tcPr>
            <w:tcW w:type="dxa" w:w="177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Kennzahl gegen Zielwert</w:t>
            </w:r>
          </w:p>
        </w:tc>
        <w:tc>
          <w:tcPr>
            <w:tcW w:type="dxa" w:w="167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Maßnahmen erledigt gegen Kalender (%)</w:t>
            </w:r>
          </w:p>
        </w:tc>
        <w:tc>
          <w:tcPr>
            <w:tcW w:type="dxa" w:w="167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Ressourcen Ist gegen allokiert</w:t>
            </w:r>
          </w:p>
        </w:tc>
        <w:tc>
          <w:tcPr>
            <w:tcW w:type="dxa" w:w="167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Neue Risiken, Chancen</w:t>
            </w:r>
          </w:p>
        </w:tc>
        <w:tc>
          <w:tcPr>
            <w:tcW w:type="dxa" w:w="186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Entscheidung*</w:t>
            </w:r>
          </w:p>
        </w:tc>
      </w:tr>
      <w:tr>
        <w:trPr>
          <w:cantSplit/>
        </w:trPr>
        <w:tc>
          <w:tcPr>
            <w:tcW w:type="dxa" w:w="98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7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7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7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7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86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8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7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7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7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7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86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8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7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7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7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7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86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8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7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7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7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7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86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8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7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7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7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7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86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983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77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7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7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672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869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</w:tbl>
    <w:p>
      <w:pPr>
        <w:spacing w:after="140"/>
      </w:pPr>
    </w:p>
    <w:p>
      <w:pPr>
        <w:keepNext/>
        <w:spacing w:after="120" w:before="280"/>
      </w:pPr>
      <w:r>
        <w:rPr>
          <w:rFonts w:ascii="Aptos" w:cs="Aptos" w:eastAsia="Aptos" w:hAnsi="Aptos"/>
          <w:b/>
          <w:bCs/>
          <w:color w:val="8C5A2B"/>
          <w:sz w:val="26"/>
          <w:szCs w:val="26"/>
        </w:rPr>
        <w:t xml:space="preserve">E. Regel zur Kommunikation der Ziele</w:t>
      </w:r>
    </w:p>
    <w:p>
      <w:pPr>
        <w:spacing w:after="140" w:before="0" w:line="300"/>
        <w:jc w:val="both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Nach 6.2.1 sind Ziele zu kommunizieren. Nach 7.4.1 müssen Umweltinformationen verlässlich sein und mit den Systemdaten übereinstimmen.</w:t>
      </w:r>
    </w:p>
    <w:p>
      <w:pPr>
        <w:keepNext/>
        <w:spacing w:after="90" w:before="200"/>
      </w:pPr>
      <w:r>
        <w:rPr>
          <w:rFonts w:ascii="Aptos" w:cs="Aptos" w:eastAsia="Aptos" w:hAnsi="Aptos"/>
          <w:b/>
          <w:bCs/>
          <w:color w:val="002060"/>
          <w:sz w:val="22"/>
          <w:szCs w:val="22"/>
        </w:rPr>
        <w:t xml:space="preserve">E1 Interne Kommunikation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7"/>
        <w:gridCol w:w="2410"/>
        <w:gridCol w:w="1908"/>
        <w:gridCol w:w="1104"/>
        <w:gridCol w:w="1305"/>
        <w:gridCol w:w="1104"/>
      </w:tblGrid>
      <w:tr>
        <w:trPr>
          <w:tblHeader/>
        </w:trPr>
        <w:tc>
          <w:tcPr>
            <w:tcW w:type="dxa" w:w="180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Adressat</w:t>
            </w:r>
          </w:p>
        </w:tc>
        <w:tc>
          <w:tcPr>
            <w:tcW w:type="dxa" w:w="241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Inhalt</w:t>
            </w:r>
          </w:p>
        </w:tc>
        <w:tc>
          <w:tcPr>
            <w:tcW w:type="dxa" w:w="190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Form</w:t>
            </w:r>
          </w:p>
        </w:tc>
        <w:tc>
          <w:tcPr>
            <w:tcW w:type="dxa" w:w="110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Zeitpunkt</w:t>
            </w:r>
          </w:p>
        </w:tc>
        <w:tc>
          <w:tcPr>
            <w:tcW w:type="dxa" w:w="130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Verantwortlich</w:t>
            </w:r>
          </w:p>
        </w:tc>
        <w:tc>
          <w:tcPr>
            <w:tcW w:type="dxa" w:w="110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6"/>
                <w:szCs w:val="16"/>
              </w:rPr>
              <w:t xml:space="preserve">Erledigt am</w:t>
            </w:r>
          </w:p>
        </w:tc>
      </w:tr>
      <w:tr>
        <w:trPr>
          <w:cantSplit/>
        </w:trPr>
        <w:tc>
          <w:tcPr>
            <w:tcW w:type="dxa" w:w="180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Abteilungsleiter</w:t>
            </w:r>
          </w:p>
        </w:tc>
        <w:tc>
          <w:tcPr>
            <w:tcW w:type="dxa" w:w="241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Freigegebene Ziele, Unterziele (C1), Maßnahmen</w:t>
            </w:r>
          </w:p>
        </w:tc>
        <w:tc>
          <w:tcPr>
            <w:tcW w:type="dxa" w:w="190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Dedizierte Sitzung</w:t>
            </w:r>
          </w:p>
        </w:tc>
        <w:tc>
          <w:tcPr>
            <w:tcW w:type="dxa" w:w="110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30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0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80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Bereichsleiter</w:t>
            </w:r>
          </w:p>
        </w:tc>
        <w:tc>
          <w:tcPr>
            <w:tcW w:type="dxa" w:w="241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Abteilungswertkarte mit Jahresziel, Maßnahmen, Monitoringhäufigkeit</w:t>
            </w:r>
          </w:p>
        </w:tc>
        <w:tc>
          <w:tcPr>
            <w:tcW w:type="dxa" w:w="190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Karte zu Jahresbeginn, unterschrieben</w:t>
            </w:r>
          </w:p>
        </w:tc>
        <w:tc>
          <w:tcPr>
            <w:tcW w:type="dxa" w:w="110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30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0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80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Führungsausschuss</w:t>
            </w:r>
          </w:p>
        </w:tc>
        <w:tc>
          <w:tcPr>
            <w:tcW w:type="dxa" w:w="241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Fortschritt (D2)</w:t>
            </w:r>
          </w:p>
        </w:tc>
        <w:tc>
          <w:tcPr>
            <w:tcW w:type="dxa" w:w="190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Managementbewertung</w:t>
            </w:r>
          </w:p>
        </w:tc>
        <w:tc>
          <w:tcPr>
            <w:tcW w:type="dxa" w:w="110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30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0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180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241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908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0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30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  <w:tc>
          <w:tcPr>
            <w:tcW w:type="dxa" w:w="1104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6"/>
                <w:szCs w:val="16"/>
              </w:rPr>
              <w:t xml:space="preserve"> </w:t>
            </w:r>
          </w:p>
        </w:tc>
      </w:tr>
    </w:tbl>
    <w:p>
      <w:pPr>
        <w:spacing w:after="140"/>
      </w:pPr>
    </w:p>
    <w:p>
      <w:pPr>
        <w:keepNext/>
        <w:spacing w:after="90" w:before="200"/>
      </w:pPr>
      <w:r>
        <w:rPr>
          <w:rFonts w:ascii="Aptos" w:cs="Aptos" w:eastAsia="Aptos" w:hAnsi="Aptos"/>
          <w:b/>
          <w:bCs/>
          <w:color w:val="002060"/>
          <w:sz w:val="22"/>
          <w:szCs w:val="22"/>
        </w:rPr>
        <w:t xml:space="preserve">E2 Externe Kommunikation ohne Greenwashing</w:t>
      </w:r>
    </w:p>
    <w:p>
      <w:pPr>
        <w:pStyle w:val="ListParagraph"/>
        <w:numPr>
          <w:ilvl w:val="0"/>
          <w:numId w:val="2"/>
        </w:numPr>
        <w:spacing w:after="70" w:line="290"/>
        <w:jc w:val="left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Jede externe Aussage über ein Ziel oder ein Ergebnis ist mit einem Systemdatum verbunden. Fehlt die Verbindung, wird die Aussage geändert oder nicht veröffentlicht.</w:t>
      </w:r>
    </w:p>
    <w:p>
      <w:pPr>
        <w:pStyle w:val="ListParagraph"/>
        <w:numPr>
          <w:ilvl w:val="0"/>
          <w:numId w:val="2"/>
        </w:numPr>
        <w:spacing w:after="70" w:line="290"/>
        <w:jc w:val="left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Freigabe vor Veröffentlichung: Nachhaltigkeitsverantwortliche (prüft die Substanz, hat Veto-Recht), kaufmännischer Direktor, Generaldirektion (entscheidet).</w:t>
      </w:r>
    </w:p>
    <w:p>
      <w:pPr>
        <w:pStyle w:val="ListParagraph"/>
        <w:numPr>
          <w:ilvl w:val="0"/>
          <w:numId w:val="2"/>
        </w:numPr>
        <w:spacing w:after="70" w:line="290"/>
        <w:jc w:val="left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Ein Ziel wird als Ziel benannt, nie als Ergebnis. Immer mit Basisjahr, Zielwert, Termin und Bezugsrahmen (welche Scopes, welche Methode).</w:t>
      </w:r>
    </w:p>
    <w:p>
      <w:pPr>
        <w:pStyle w:val="ListParagraph"/>
        <w:numPr>
          <w:ilvl w:val="0"/>
          <w:numId w:val="2"/>
        </w:numPr>
        <w:spacing w:after="70" w:line="290"/>
        <w:jc w:val="left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Reduktion und Kompensation getrennt darstellen; «klimaneutral» nur, wenn die Substanz es nach ISO 14068:2026 stützt. Keine generischen Formeln wie «umweltfreundlich»; Strom als «Scope 2 market-based zu X % durch Herkunftsnachweise gedeckt».</w:t>
      </w:r>
    </w:p>
    <w:p>
      <w:pPr>
        <w:pStyle w:val="ListParagraph"/>
        <w:numPr>
          <w:ilvl w:val="0"/>
          <w:numId w:val="2"/>
        </w:numPr>
        <w:spacing w:after="70" w:line="290"/>
        <w:jc w:val="left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Gegenüber Verbrauchern in Deutschland und Österreich verlangen Aussagen über künftige Umweltleistung nach Richtlinie (EU) 2024/825 einen detaillierten, unabhängig überprüften Umsetzungsplan. In der Schweiz brauchen Klimaaussagen objektive, überprüfbare Grundlagen (Art. 3 Abs. 1 Bst. x UWG). Jeweils an der geltenden Fassung prüfen.</w:t>
      </w:r>
    </w:p>
    <w:p>
      <w:pPr>
        <w:pStyle w:val="ListParagraph"/>
        <w:numPr>
          <w:ilvl w:val="0"/>
          <w:numId w:val="2"/>
        </w:numPr>
        <w:spacing w:after="70" w:line="290"/>
        <w:jc w:val="left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Nicht erreichte oder geänderte Ziele offen benennen. Jede veröffentlichte Aussage mindestens jährlich gegen die aktuellen Systemdaten prüfen und mit Stand-Datum versehen.</w:t>
      </w:r>
    </w:p>
    <w:p>
      <w:pPr>
        <w:keepNext/>
        <w:spacing w:after="90" w:before="160"/>
      </w:pPr>
      <w:r>
        <w:rPr>
          <w:rFonts w:ascii="Aptos" w:cs="Aptos" w:eastAsia="Aptos" w:hAnsi="Aptos"/>
          <w:b/>
          <w:bCs/>
          <w:color w:val="5A5A5A"/>
          <w:sz w:val="18"/>
          <w:szCs w:val="18"/>
        </w:rPr>
        <w:t xml:space="preserve">Erste Zeile: Beispiel (Kompositfall, anzupassen)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675"/>
        <w:gridCol w:w="1446"/>
        <w:gridCol w:w="1060"/>
        <w:gridCol w:w="1060"/>
        <w:gridCol w:w="1060"/>
        <w:gridCol w:w="867"/>
      </w:tblGrid>
      <w:tr>
        <w:trPr>
          <w:tblHeader/>
        </w:trPr>
        <w:tc>
          <w:tcPr>
            <w:tcW w:type="dxa" w:w="347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5"/>
                <w:szCs w:val="15"/>
              </w:rPr>
              <w:t xml:space="preserve">Formulierung</w:t>
            </w:r>
          </w:p>
        </w:tc>
        <w:tc>
          <w:tcPr>
            <w:tcW w:type="dxa" w:w="67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5"/>
                <w:szCs w:val="15"/>
              </w:rPr>
              <w:t xml:space="preserve">Ziel-Nr.</w:t>
            </w:r>
          </w:p>
        </w:tc>
        <w:tc>
          <w:tcPr>
            <w:tcW w:type="dxa" w:w="144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5"/>
                <w:szCs w:val="15"/>
              </w:rPr>
              <w:t xml:space="preserve">Systemdatum, Quelle</w:t>
            </w:r>
          </w:p>
        </w:tc>
        <w:tc>
          <w:tcPr>
            <w:tcW w:type="dxa" w:w="10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5"/>
                <w:szCs w:val="15"/>
              </w:rPr>
              <w:t xml:space="preserve">Zielgruppe (B2C, B2B, Bank)</w:t>
            </w:r>
          </w:p>
        </w:tc>
        <w:tc>
          <w:tcPr>
            <w:tcW w:type="dxa" w:w="10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5"/>
                <w:szCs w:val="15"/>
              </w:rPr>
              <w:t xml:space="preserve">Geprüft Nachhaltigkeit</w:t>
            </w:r>
          </w:p>
        </w:tc>
        <w:tc>
          <w:tcPr>
            <w:tcW w:type="dxa" w:w="10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5"/>
                <w:szCs w:val="15"/>
              </w:rPr>
              <w:t xml:space="preserve">Freigegeben GD, Datum</w:t>
            </w:r>
          </w:p>
        </w:tc>
        <w:tc>
          <w:tcPr>
            <w:tcW w:type="dxa" w:w="86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shd w:fill="8C5A2B" w:color="auto" w:val="clear"/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FFFFFF"/>
                <w:sz w:val="15"/>
                <w:szCs w:val="15"/>
              </w:rPr>
              <w:t xml:space="preserve">Nächste Prüfung</w:t>
            </w:r>
          </w:p>
        </w:tc>
      </w:tr>
      <w:tr>
        <w:trPr>
          <w:cantSplit/>
        </w:trPr>
        <w:tc>
          <w:tcPr>
            <w:tcW w:type="dxa" w:w="347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5"/>
                <w:szCs w:val="15"/>
              </w:rPr>
              <w:t xml:space="preserve">«Wir wollen unsere Scope-1-und-2-Emissionen bis [Jahr] um [X] % gegenüber [Basisjahr] senken.»</w:t>
            </w:r>
          </w:p>
        </w:tc>
        <w:tc>
          <w:tcPr>
            <w:tcW w:type="dxa" w:w="67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Z-01</w:t>
            </w:r>
          </w:p>
        </w:tc>
        <w:tc>
          <w:tcPr>
            <w:tcW w:type="dxa" w:w="144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Emissionsinventar [Jahr]</w:t>
            </w:r>
          </w:p>
        </w:tc>
        <w:tc>
          <w:tcPr>
            <w:tcW w:type="dxa" w:w="10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0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0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86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7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67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44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0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0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0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86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7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67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44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0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0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0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86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7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67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44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0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0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0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86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7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67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44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0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0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0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86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7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67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44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0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0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0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86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347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/>
                <w:bCs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675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446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0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0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1060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  <w:tc>
          <w:tcPr>
            <w:tcW w:type="dxa" w:w="867"/>
            <w:tcBorders>
              <w:top w:val="single" w:color="C9BBA6" w:sz="4"/>
              <w:left w:val="single" w:color="C9BBA6" w:sz="4"/>
              <w:bottom w:val="single" w:color="C9BBA6" w:sz="4"/>
              <w:right w:val="single" w:color="C9BBA6" w:sz="4"/>
            </w:tcBorders>
            <w:tcMar>
              <w:top w:type="dxa" w:w="70"/>
              <w:left w:type="dxa" w:w="90"/>
              <w:bottom w:type="dxa" w:w="70"/>
              <w:right w:type="dxa" w:w="90"/>
            </w:tcMar>
          </w:tcPr>
          <w:p>
            <w:pPr>
              <w:spacing w:after="0" w:line="260"/>
            </w:pPr>
            <w:r>
              <w:rPr>
                <w:rFonts w:ascii="Aptos" w:cs="Aptos" w:eastAsia="Aptos" w:hAnsi="Aptos"/>
                <w:b w:val="false"/>
                <w:bCs w:val="false"/>
                <w:color w:val="1A1A1A"/>
                <w:sz w:val="15"/>
                <w:szCs w:val="15"/>
              </w:rPr>
              <w:t xml:space="preserve"> </w:t>
            </w:r>
          </w:p>
        </w:tc>
      </w:tr>
    </w:tbl>
    <w:p>
      <w:pPr>
        <w:spacing w:after="140"/>
      </w:pPr>
    </w:p>
    <w:p>
      <w:pPr>
        <w:keepNext/>
        <w:spacing w:after="120" w:before="280"/>
      </w:pPr>
      <w:r>
        <w:rPr>
          <w:rFonts w:ascii="Aptos" w:cs="Aptos" w:eastAsia="Aptos" w:hAnsi="Aptos"/>
          <w:b/>
          <w:bCs/>
          <w:color w:val="8C5A2B"/>
          <w:sz w:val="26"/>
          <w:szCs w:val="26"/>
        </w:rPr>
        <w:t xml:space="preserve">Was diese Vorlage nicht ist</w:t>
      </w:r>
    </w:p>
    <w:p>
      <w:pPr>
        <w:spacing w:after="140" w:before="0" w:line="300"/>
        <w:jc w:val="both"/>
      </w:pPr>
      <w:r>
        <w:rPr>
          <w:rFonts w:ascii="Aptos" w:cs="Aptos" w:eastAsia="Aptos" w:hAnsi="Aptos"/>
          <w:color w:val="1A1A1A"/>
          <w:sz w:val="21"/>
          <w:szCs w:val="21"/>
        </w:rPr>
        <w:t xml:space="preserve">Die Vorlage ersetzt nicht die ISO 14001:2026 und gibt ihren Wortlaut nicht wieder. Sie ist keine Rechtsberatung; die Beurteilung externer Aussagen bleibt Sache des Hauses. Felder, Kennzahlen und Beispiele sind an das eigene Haus anzupassen. Rechtsstand: 9. Oktober 2026.</w:t>
      </w:r>
    </w:p>
    <w:p>
      <w:pPr>
        <w:spacing w:after="140" w:before="0" w:line="300"/>
        <w:jc w:val="both"/>
      </w:pPr>
      <w:r>
        <w:rPr>
          <w:rFonts w:ascii="Aptos" w:cs="Aptos" w:eastAsia="Aptos" w:hAnsi="Aptos"/>
          <w:i/>
          <w:iCs/>
          <w:color w:val="1A1A1A"/>
          <w:sz w:val="21"/>
          <w:szCs w:val="21"/>
        </w:rPr>
        <w:t xml:space="preserve">Bezug im Buch: Band 1a, Abschnitt 2.6 (ergänzend 1.10 und 2.8)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5A5A5A"/>
        <w:sz w:val="16"/>
        <w:szCs w:val="16"/>
      </w:rPr>
      <w:t xml:space="preserve">Francesco Dore · Das Steuer und die Lupe · Band 1a · Seite </w:t>
    </w:r>
    <w:r>
      <w:rPr>
        <w:rFonts w:ascii="Aptos" w:cs="Aptos" w:eastAsia="Aptos" w:hAnsi="Aptos"/>
        <w:color w:val="5A5A5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Aptos" w:cs="Aptos" w:eastAsia="Aptos" w:hAnsi="Aptos"/>
      <w:b/>
      <w:bCs/>
      <w:color w:val="002060"/>
      <w:sz w:val="36"/>
      <w:szCs w:val="3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 Dore</dc:creator>
  <cp:lastModifiedBy>Un-named</cp:lastModifiedBy>
  <cp:revision>1</cp:revision>
  <dcterms:created xsi:type="dcterms:W3CDTF">2026-10-10T22:13:11.590Z</dcterms:created>
  <dcterms:modified xsi:type="dcterms:W3CDTF">2026-10-10T22:13:11.590Z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