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1b · ISO 14001:2026</w:t>
      </w:r>
    </w:p>
    <w:p>
      <w:pPr>
        <w:spacing w:after="200"/>
      </w:pPr>
      <w:r>
        <w:rPr>
          <w:rFonts w:ascii="Aptos" w:cs="Aptos" w:eastAsia="Aptos" w:hAnsi="Aptos"/>
          <w:b/>
          <w:bCs/>
          <w:color w:val="8C5A2B"/>
          <w:sz w:val="18"/>
          <w:szCs w:val="18"/>
        </w:rPr>
        <w:t xml:space="preserve">ONLINE-MATERIAL ZU ABSCHNITT 3.10</w:t>
      </w:r>
    </w:p>
    <w:p>
      <w:pPr>
        <w:pStyle w:val="Heading1"/>
        <w:spacing w:after="120" w:line="360"/>
      </w:pPr>
      <w:r>
        <w:rPr>
          <w:rFonts w:ascii="Aptos" w:cs="Aptos" w:eastAsia="Aptos" w:hAnsi="Aptos"/>
          <w:b/>
          <w:bCs/>
          <w:color w:val="002060"/>
          <w:sz w:val="36"/>
          <w:szCs w:val="36"/>
        </w:rPr>
        <w:t xml:space="preserve">Diagnose Fassadensystem: sechs Tests</w:t>
      </w:r>
    </w:p>
    <w:p>
      <w:pPr>
        <w:spacing w:after="200"/>
      </w:pPr>
      <w:r>
        <w:rPr>
          <w:rFonts w:ascii="Aptos" w:cs="Aptos" w:eastAsia="Aptos" w:hAnsi="Aptos"/>
          <w:i/>
          <w:iCs/>
          <w:color w:val="5A5A5A"/>
          <w:sz w:val="22"/>
          <w:szCs w:val="22"/>
        </w:rPr>
        <w:t xml:space="preserve">Arbeitsblätter für die systemische Diagnose am Ende des internen Audits: Vorgehen, Evidenz, Befund und Diagnose je Test, dann das Gesamtbild</w:t>
      </w:r>
    </w:p>
    <w:p>
      <w:pPr>
        <w:pBdr>
          <w:bottom w:val="single" w:color="C9BBA6" w:sz="6" w:space="4"/>
        </w:pBdr>
        <w:spacing w:after="240"/>
      </w:pPr>
      <w:r>
        <w:rPr>
          <w:rFonts w:ascii="Aptos" w:cs="Aptos" w:eastAsia="Aptos" w:hAnsi="Aptos"/>
          <w:color w:val="5A5A5A"/>
          <w:sz w:val="17"/>
          <w:szCs w:val="17"/>
        </w:rPr>
        <w:t xml:space="preserve">Stand: 11.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Die sechs Tests prüfen, ob das Umweltmanagementsystem seine Ergebnisse selbst erzeugt oder nur auf dem Papier steht. Sie kommen nach den Einzelaudits und vor dem Abschlussprotokoll. Die Diagnose ist technisch und konstruktiv, kein moralisches Urteil.</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2891"/>
        <w:gridCol w:w="1928"/>
        <w:gridCol w:w="2891"/>
      </w:tblGrid>
      <w:tr>
        <w:trPr>
          <w:tblHeader/>
        </w:trPr>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Haus</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Zertifiziert seit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Interner Auditor</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Datum der Diagnose</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Gegenlesung durch</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Grundlage (Audittage)</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A. Spielregeln der Diagnose</w:t>
      </w:r>
    </w:p>
    <w:p>
      <w:pPr>
        <w:pStyle w:val="ListParagraph"/>
        <w:numPr>
          <w:ilvl w:val="0"/>
          <w:numId w:val="2"/>
        </w:numPr>
        <w:spacing w:after="70" w:line="290"/>
        <w:jc w:val="left"/>
      </w:pPr>
      <w:r>
        <w:rPr>
          <w:rFonts w:ascii="Aptos" w:cs="Aptos" w:eastAsia="Aptos" w:hAnsi="Aptos"/>
          <w:b/>
          <w:bCs/>
          <w:color w:val="1A1A1A"/>
          <w:sz w:val="21"/>
          <w:szCs w:val="21"/>
        </w:rPr>
        <w:t xml:space="preserve">Reifestufe zuerst.</w:t>
      </w:r>
      <w:r>
        <w:rPr>
          <w:rFonts w:ascii="Aptos" w:cs="Aptos" w:eastAsia="Aptos" w:hAnsi="Aptos"/>
          <w:color w:val="1A1A1A"/>
          <w:sz w:val="21"/>
          <w:szCs w:val="21"/>
        </w:rPr>
        <w:t xml:space="preserve"> Ein System im ersten Jahr mit vorwiegend technischen Ergebnissen ist in der Aufbauphase, keine Fassade. Fassadenmerkmale wiegen schwer im vierten oder fünften Jahr.</w:t>
      </w:r>
    </w:p>
    <w:p>
      <w:pPr>
        <w:pStyle w:val="ListParagraph"/>
        <w:numPr>
          <w:ilvl w:val="0"/>
          <w:numId w:val="2"/>
        </w:numPr>
        <w:spacing w:after="70" w:line="290"/>
        <w:jc w:val="left"/>
      </w:pPr>
      <w:r>
        <w:rPr>
          <w:rFonts w:ascii="Aptos" w:cs="Aptos" w:eastAsia="Aptos" w:hAnsi="Aptos"/>
          <w:b/>
          <w:bCs/>
          <w:color w:val="1A1A1A"/>
          <w:sz w:val="21"/>
          <w:szCs w:val="21"/>
        </w:rPr>
        <w:t xml:space="preserve">Zwei Nachweisarten je Merkmal.</w:t>
      </w:r>
      <w:r>
        <w:rPr>
          <w:rFonts w:ascii="Aptos" w:cs="Aptos" w:eastAsia="Aptos" w:hAnsi="Aptos"/>
          <w:color w:val="1A1A1A"/>
          <w:sz w:val="21"/>
          <w:szCs w:val="21"/>
        </w:rPr>
        <w:t xml:space="preserve"> Jedes Fassadenmerkmal stützt sich auf mindestens zwei unabhängige Nachweisarten: Aufzeichnung, Befragung oder Beobachtung vor Ort.</w:t>
      </w:r>
    </w:p>
    <w:p>
      <w:pPr>
        <w:pStyle w:val="ListParagraph"/>
        <w:numPr>
          <w:ilvl w:val="0"/>
          <w:numId w:val="2"/>
        </w:numPr>
        <w:spacing w:after="70" w:line="290"/>
        <w:jc w:val="left"/>
      </w:pPr>
      <w:r>
        <w:rPr>
          <w:rFonts w:ascii="Aptos" w:cs="Aptos" w:eastAsia="Aptos" w:hAnsi="Aptos"/>
          <w:b/>
          <w:bCs/>
          <w:color w:val="1A1A1A"/>
          <w:sz w:val="21"/>
          <w:szCs w:val="21"/>
        </w:rPr>
        <w:t xml:space="preserve">Stichprobe selbst wählen.</w:t>
      </w:r>
      <w:r>
        <w:rPr>
          <w:rFonts w:ascii="Aptos" w:cs="Aptos" w:eastAsia="Aptos" w:hAnsi="Aptos"/>
          <w:color w:val="1A1A1A"/>
          <w:sz w:val="21"/>
          <w:szCs w:val="21"/>
        </w:rPr>
        <w:t xml:space="preserve"> Ein Teil der Befragten wird vom Auditor ausgewählt, auch aus Nacht- und Wochenendschichten und unter neuem Personal. Dokumente zieht er auch direkt am Arbeitsplatz.</w:t>
      </w:r>
    </w:p>
    <w:p>
      <w:pPr>
        <w:pStyle w:val="ListParagraph"/>
        <w:numPr>
          <w:ilvl w:val="0"/>
          <w:numId w:val="2"/>
        </w:numPr>
        <w:spacing w:after="70" w:line="290"/>
        <w:jc w:val="left"/>
      </w:pPr>
      <w:r>
        <w:rPr>
          <w:rFonts w:ascii="Aptos" w:cs="Aptos" w:eastAsia="Aptos" w:hAnsi="Aptos"/>
          <w:b/>
          <w:bCs/>
          <w:color w:val="1A1A1A"/>
          <w:sz w:val="21"/>
          <w:szCs w:val="21"/>
        </w:rPr>
        <w:t xml:space="preserve">Rückwärts prüfen.</w:t>
      </w:r>
      <w:r>
        <w:rPr>
          <w:rFonts w:ascii="Aptos" w:cs="Aptos" w:eastAsia="Aptos" w:hAnsi="Aptos"/>
          <w:color w:val="1A1A1A"/>
          <w:sz w:val="21"/>
          <w:szCs w:val="21"/>
        </w:rPr>
        <w:t xml:space="preserve"> Von der beobachteten Tätigkeit zurück zum Verfahren. Findet sich der Weg nicht, ist das Verfahren für diese Tätigkeit nicht wirksam.</w:t>
      </w:r>
    </w:p>
    <w:p>
      <w:pPr>
        <w:pStyle w:val="ListParagraph"/>
        <w:numPr>
          <w:ilvl w:val="0"/>
          <w:numId w:val="2"/>
        </w:numPr>
        <w:spacing w:after="70" w:line="290"/>
        <w:jc w:val="left"/>
      </w:pPr>
      <w:r>
        <w:rPr>
          <w:rFonts w:ascii="Aptos" w:cs="Aptos" w:eastAsia="Aptos" w:hAnsi="Aptos"/>
          <w:b/>
          <w:bCs/>
          <w:color w:val="1A1A1A"/>
          <w:sz w:val="21"/>
          <w:szCs w:val="21"/>
        </w:rPr>
        <w:t xml:space="preserve">Eigenwissen ist Hinweis, kein Nachweis.</w:t>
      </w:r>
      <w:r>
        <w:rPr>
          <w:rFonts w:ascii="Aptos" w:cs="Aptos" w:eastAsia="Aptos" w:hAnsi="Aptos"/>
          <w:color w:val="1A1A1A"/>
          <w:sz w:val="21"/>
          <w:szCs w:val="21"/>
        </w:rPr>
        <w:t xml:space="preserve"> Was der Auditor aus seiner Funktion im Betrieb weiß, bestätigt er durch Daten, Befragung oder Beobachtung.</w:t>
      </w:r>
    </w:p>
    <w:p>
      <w:pPr>
        <w:pStyle w:val="ListParagraph"/>
        <w:numPr>
          <w:ilvl w:val="0"/>
          <w:numId w:val="2"/>
        </w:numPr>
        <w:spacing w:after="70" w:line="290"/>
        <w:jc w:val="left"/>
      </w:pPr>
      <w:r>
        <w:rPr>
          <w:rFonts w:ascii="Aptos" w:cs="Aptos" w:eastAsia="Aptos" w:hAnsi="Aptos"/>
          <w:b/>
          <w:bCs/>
          <w:color w:val="1A1A1A"/>
          <w:sz w:val="21"/>
          <w:szCs w:val="21"/>
        </w:rPr>
        <w:t xml:space="preserve">Gegenlesen lassen.</w:t>
      </w:r>
      <w:r>
        <w:rPr>
          <w:rFonts w:ascii="Aptos" w:cs="Aptos" w:eastAsia="Aptos" w:hAnsi="Aptos"/>
          <w:color w:val="1A1A1A"/>
          <w:sz w:val="21"/>
          <w:szCs w:val="21"/>
        </w:rPr>
        <w:t xml:space="preserve"> Vor der Abschlusssitzung prüft eine zweite fachkundige Person, etwa aus einem anderen Haus, ob jede Aussage durch Nachweise gedeckt ist.</w:t>
      </w:r>
    </w:p>
    <w:p>
      <w:pPr>
        <w:keepNext/>
        <w:spacing w:after="120" w:before="280"/>
      </w:pPr>
      <w:r>
        <w:rPr>
          <w:rFonts w:ascii="Aptos" w:cs="Aptos" w:eastAsia="Aptos" w:hAnsi="Aptos"/>
          <w:b/>
          <w:bCs/>
          <w:color w:val="8C5A2B"/>
          <w:sz w:val="26"/>
          <w:szCs w:val="26"/>
        </w:rPr>
        <w:t xml:space="preserve">B. Sechs Formen des Fassadensystems: Vorprüfung</w:t>
      </w:r>
    </w:p>
    <w:p>
      <w:pPr>
        <w:spacing w:after="140" w:before="0" w:line="300"/>
        <w:jc w:val="both"/>
      </w:pPr>
      <w:r>
        <w:rPr>
          <w:rFonts w:ascii="Aptos" w:cs="Aptos" w:eastAsia="Aptos" w:hAnsi="Aptos"/>
          <w:color w:val="1A1A1A"/>
          <w:sz w:val="21"/>
          <w:szCs w:val="21"/>
        </w:rPr>
        <w:t xml:space="preserve">Die Tabelle dient als Suchraster. Ein Eintrag ist ein Hinweis für die Tests, noch kein Befund.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64"/>
        <w:gridCol w:w="4524"/>
        <w:gridCol w:w="1180"/>
        <w:gridCol w:w="1770"/>
      </w:tblGrid>
      <w:tr>
        <w:trPr>
          <w:tblHeader/>
        </w:trPr>
        <w:tc>
          <w:tcPr>
            <w:tcW w:type="dxa" w:w="21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Form</w:t>
            </w:r>
          </w:p>
        </w:tc>
        <w:tc>
          <w:tcPr>
            <w:tcW w:type="dxa" w:w="45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Erkennungszeichen laut Buch</w:t>
            </w:r>
          </w:p>
        </w:tc>
        <w:tc>
          <w:tcPr>
            <w:tcW w:type="dxa" w:w="11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Hinweis im Haus?</w:t>
            </w:r>
          </w:p>
        </w:tc>
        <w:tc>
          <w:tcPr>
            <w:tcW w:type="dxa" w:w="177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Wo gesehen?</w:t>
            </w:r>
          </w:p>
        </w:tc>
      </w:tr>
      <w:tr>
        <w:trPr>
          <w:cantSplit/>
        </w:trPr>
        <w:tc>
          <w:tcPr>
            <w:tcW w:type="dxa" w:w="21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Dokument als Handlungsersatz</w:t>
            </w:r>
          </w:p>
        </w:tc>
        <w:tc>
          <w:tcPr>
            <w:tcW w:type="dxa" w:w="45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Verfahren für den Zertifizierungsauditor geschrieben; Monatsberichte archiviert, ohne Entscheidungen auszulösen</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1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Ergebnis ohne System</w:t>
            </w:r>
          </w:p>
        </w:tc>
        <w:tc>
          <w:tcPr>
            <w:tcW w:type="dxa" w:w="45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Ziele erreicht, das Verdienst gehört technischen Eingriffen, die ohnehin erfolgt wären</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1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Engagement ohne Kultur</w:t>
            </w:r>
          </w:p>
        </w:tc>
        <w:tc>
          <w:tcPr>
            <w:tcW w:type="dxa" w:w="45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Schulungen und Newsletter vorhanden, das Personal kehrt zu alten Gewohnheiten zurück</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1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Stagnierende Verbesserung</w:t>
            </w:r>
          </w:p>
        </w:tc>
        <w:tc>
          <w:tcPr>
            <w:tcW w:type="dxa" w:w="45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Fortschritte in den ersten Jahren, ab dem dritten oder vierten Jahr keine mehr</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1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Audit als Fassade</w:t>
            </w:r>
          </w:p>
        </w:tc>
        <w:tc>
          <w:tcPr>
            <w:tcW w:type="dxa" w:w="45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Jedes Jahr dieselbe Checkliste, dieselben Bereiche, dieselben Gesprächspartner, kaum Feststellungen</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1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Zentral gelieferte Fassade</w:t>
            </w:r>
          </w:p>
        </w:tc>
        <w:tc>
          <w:tcPr>
            <w:tcW w:type="dxa" w:w="45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Vorlagen aus Zentrale oder von Dienstleistern; niemand im Haus kann den Aufbau eines Verfahrens erklären</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spacing w:after="140" w:before="0" w:line="300"/>
        <w:jc w:val="both"/>
      </w:pPr>
      <w:r>
        <w:rPr>
          <w:rFonts w:ascii="Aptos" w:cs="Aptos" w:eastAsia="Aptos" w:hAnsi="Aptos"/>
          <w:color w:val="1A1A1A"/>
          <w:sz w:val="19"/>
          <w:szCs w:val="19"/>
        </w:rPr>
        <w:t xml:space="preserve">Zur Form «Audit als Fassade»: Der Auditor legt dafür die eigenen Programme und Berichte der Vorjahre nebeneinander.</w:t>
      </w:r>
    </w:p>
    <w:p>
      <w:pPr>
        <w:keepNext/>
        <w:spacing w:after="120" w:before="280"/>
      </w:pPr>
      <w:r>
        <w:rPr>
          <w:rFonts w:ascii="Aptos" w:cs="Aptos" w:eastAsia="Aptos" w:hAnsi="Aptos"/>
          <w:b/>
          <w:bCs/>
          <w:color w:val="8C5A2B"/>
          <w:sz w:val="26"/>
          <w:szCs w:val="26"/>
        </w:rPr>
        <w:t xml:space="preserve">C. Arbeitsblätter der sechs Tests</w:t>
      </w:r>
    </w:p>
    <w:p>
      <w:pPr>
        <w:keepNext/>
        <w:spacing w:after="90" w:before="200"/>
      </w:pPr>
      <w:r>
        <w:rPr>
          <w:rFonts w:ascii="Aptos" w:cs="Aptos" w:eastAsia="Aptos" w:hAnsi="Aptos"/>
          <w:b/>
          <w:bCs/>
          <w:color w:val="002060"/>
          <w:sz w:val="22"/>
          <w:szCs w:val="22"/>
        </w:rPr>
        <w:t xml:space="preserve">Test 1: Ziel-Rückverfolgbarkeit</w:t>
      </w:r>
    </w:p>
    <w:p>
      <w:pPr>
        <w:spacing w:after="140" w:before="0" w:line="300"/>
        <w:jc w:val="both"/>
      </w:pPr>
      <w:r>
        <w:rPr>
          <w:rFonts w:ascii="Aptos" w:cs="Aptos" w:eastAsia="Aptos" w:hAnsi="Aptos"/>
          <w:b/>
          <w:bCs/>
          <w:color w:val="1A1A1A"/>
          <w:sz w:val="21"/>
          <w:szCs w:val="21"/>
        </w:rPr>
        <w:t xml:space="preserve">Vorgehen:</w:t>
      </w:r>
      <w:r>
        <w:rPr>
          <w:rFonts w:ascii="Aptos" w:cs="Aptos" w:eastAsia="Aptos" w:hAnsi="Aptos"/>
          <w:color w:val="1A1A1A"/>
          <w:sz w:val="21"/>
          <w:szCs w:val="21"/>
        </w:rPr>
        <w:t xml:space="preserve"> Ein Ziel wählen, etwa das Energieziel, und durch alle Klauseln verfolgen, die es stützen sollen. Gewähltes Ziel: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70"/>
        <w:gridCol w:w="3934"/>
        <w:gridCol w:w="2557"/>
        <w:gridCol w:w="1377"/>
      </w:tblGrid>
      <w:tr>
        <w:trPr>
          <w:tblHeader/>
        </w:trPr>
        <w:tc>
          <w:tcPr>
            <w:tcW w:type="dxa" w:w="177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Glied der Kette</w:t>
            </w:r>
          </w:p>
        </w:tc>
        <w:tc>
          <w:tcPr>
            <w:tcW w:type="dxa" w:w="393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Prüffrage</w:t>
            </w:r>
          </w:p>
        </w:tc>
        <w:tc>
          <w:tcPr>
            <w:tcW w:type="dxa" w:w="25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Nachweis (Art und Fundstelle)</w:t>
            </w:r>
          </w:p>
        </w:tc>
        <w:tc>
          <w:tcPr>
            <w:tcW w:type="dxa" w:w="13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Ja / teilweise / nein</w:t>
            </w:r>
          </w:p>
        </w:tc>
      </w:tr>
      <w:tr>
        <w:trPr>
          <w:cantSplit/>
        </w:trPr>
        <w:tc>
          <w:tcPr>
            <w:tcW w:type="dxa" w:w="17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6.2 Ziel</w:t>
            </w:r>
          </w:p>
        </w:tc>
        <w:tc>
          <w:tcPr>
            <w:tcW w:type="dxa" w:w="39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Ist das Ziel mit Ressourcen, Zeitrahmen und Verantwortlichen festgelegt?</w:t>
            </w:r>
          </w:p>
        </w:tc>
        <w:tc>
          <w:tcPr>
            <w:tcW w:type="dxa" w:w="25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7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7.1 Ressourcen</w:t>
            </w:r>
          </w:p>
        </w:tc>
        <w:tc>
          <w:tcPr>
            <w:tcW w:type="dxa" w:w="39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Sind Mittel zugewiesen, etwa im genehmigten CapEx?</w:t>
            </w:r>
          </w:p>
        </w:tc>
        <w:tc>
          <w:tcPr>
            <w:tcW w:type="dxa" w:w="25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7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7.3 Bewusstsein</w:t>
            </w:r>
          </w:p>
        </w:tc>
        <w:tc>
          <w:tcPr>
            <w:tcW w:type="dxa" w:w="39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Kennen Abteilungsleitungen und erste operative Ebene das Ziel?</w:t>
            </w:r>
          </w:p>
        </w:tc>
        <w:tc>
          <w:tcPr>
            <w:tcW w:type="dxa" w:w="25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7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8.1 Betrieb</w:t>
            </w:r>
          </w:p>
        </w:tc>
        <w:tc>
          <w:tcPr>
            <w:tcW w:type="dxa" w:w="39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Gibt es operative Vorgaben je Bereich, die zum Ziel passen?</w:t>
            </w:r>
          </w:p>
        </w:tc>
        <w:tc>
          <w:tcPr>
            <w:tcW w:type="dxa" w:w="25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7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9.1 Bewertung</w:t>
            </w:r>
          </w:p>
        </w:tc>
        <w:tc>
          <w:tcPr>
            <w:tcW w:type="dxa" w:w="39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Werden Abweichungen analysiert, nicht nur berichtet?</w:t>
            </w:r>
          </w:p>
        </w:tc>
        <w:tc>
          <w:tcPr>
            <w:tcW w:type="dxa" w:w="25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7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9.3 Managementbewertung</w:t>
            </w:r>
          </w:p>
        </w:tc>
        <w:tc>
          <w:tcPr>
            <w:tcW w:type="dxa" w:w="39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Hat das Ziel eine dokumentierte Entscheidung ausgelöst?</w:t>
            </w:r>
          </w:p>
        </w:tc>
        <w:tc>
          <w:tcPr>
            <w:tcW w:type="dxa" w:w="25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5"/>
        <w:gridCol w:w="7333"/>
      </w:tblGrid>
      <w:tr>
        <w:trPr>
          <w:tblHeader/>
        </w:trPr>
        <w:tc>
          <w:tcPr>
            <w:tcW w:type="dxa" w:w="230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73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Evidenz (Fundstellen, Nachweisarten)</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Befund: Wo bricht die Kette?</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Diagnose</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Test 2: Trennung Ergebnisse und System</w:t>
      </w:r>
    </w:p>
    <w:p>
      <w:pPr>
        <w:spacing w:after="140" w:before="0" w:line="300"/>
        <w:jc w:val="both"/>
      </w:pPr>
      <w:r>
        <w:rPr>
          <w:rFonts w:ascii="Aptos" w:cs="Aptos" w:eastAsia="Aptos" w:hAnsi="Aptos"/>
          <w:b/>
          <w:bCs/>
          <w:color w:val="1A1A1A"/>
          <w:sz w:val="21"/>
          <w:szCs w:val="21"/>
        </w:rPr>
        <w:t xml:space="preserve">Vorgehen:</w:t>
      </w:r>
      <w:r>
        <w:rPr>
          <w:rFonts w:ascii="Aptos" w:cs="Aptos" w:eastAsia="Aptos" w:hAnsi="Aptos"/>
          <w:color w:val="1A1A1A"/>
          <w:sz w:val="21"/>
          <w:szCs w:val="21"/>
        </w:rPr>
        <w:t xml:space="preserve"> Die Verbrauchskurve der letzten Jahre neben den Kalender der technischen Eingriffe legen. Konzentrieren sich die Verbesserungen auf die Zeit nach Eingriffen, erzeugt die Technik das Ergebnis, nicht das System.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67"/>
        <w:gridCol w:w="3540"/>
        <w:gridCol w:w="2164"/>
        <w:gridCol w:w="1967"/>
      </w:tblGrid>
      <w:tr>
        <w:trPr>
          <w:tblHeader/>
        </w:trPr>
        <w:tc>
          <w:tcPr>
            <w:tcW w:type="dxa" w:w="19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Jahr</w:t>
            </w:r>
          </w:p>
        </w:tc>
        <w:tc>
          <w:tcPr>
            <w:tcW w:type="dxa" w:w="354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Technische Eingriffe (Art, Monat)</w:t>
            </w:r>
          </w:p>
        </w:tc>
        <w:tc>
          <w:tcPr>
            <w:tcW w:type="dxa" w:w="21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Veränderung der Kennzahl in %</w:t>
            </w:r>
          </w:p>
        </w:tc>
        <w:tc>
          <w:tcPr>
            <w:tcW w:type="dxa" w:w="19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Jahr ohne Eingriff?</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Beispiel (Kompositfall aus dem Buch)</w:t>
            </w:r>
          </w:p>
        </w:tc>
        <w:tc>
          <w:tcPr>
            <w:tcW w:type="dxa" w:w="35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Jahr 1 Photovoltaik, Jahr 2 keiner, Jahr 3 Gebäudeautomation</w:t>
            </w:r>
          </w:p>
        </w:tc>
        <w:tc>
          <w:tcPr>
            <w:tcW w:type="dxa" w:w="21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−6,8 / −1,1 / −2,5</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Jahr 2: Verhaltenskomponente rund 1,1 %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35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35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35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5"/>
        <w:gridCol w:w="7333"/>
      </w:tblGrid>
      <w:tr>
        <w:trPr>
          <w:tblHeader/>
        </w:trPr>
        <w:tc>
          <w:tcPr>
            <w:tcW w:type="dxa" w:w="230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73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Evidenz (Verbrauchsdaten, Eingriffskalender)</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Restpotenzial der Technik bis zum Zieljahr</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Befund</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Diagnose</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spacing w:after="140" w:before="0" w:line="300"/>
        <w:jc w:val="both"/>
      </w:pPr>
      <w:r>
        <w:rPr>
          <w:rFonts w:ascii="Aptos" w:cs="Aptos" w:eastAsia="Aptos" w:hAnsi="Aptos"/>
          <w:color w:val="1A1A1A"/>
          <w:sz w:val="19"/>
          <w:szCs w:val="19"/>
        </w:rPr>
        <w:t xml:space="preserve">Eine genaue prozentuale Aufteilung zwischen Technik und Verhalten ist meist nicht belegbar. Die Diagnose nennt deshalb eine Richtung, keinen Punktwert.</w:t>
      </w:r>
    </w:p>
    <w:p>
      <w:pPr>
        <w:keepNext/>
        <w:spacing w:after="90" w:before="200"/>
      </w:pPr>
      <w:r>
        <w:rPr>
          <w:rFonts w:ascii="Aptos" w:cs="Aptos" w:eastAsia="Aptos" w:hAnsi="Aptos"/>
          <w:b/>
          <w:bCs/>
          <w:color w:val="002060"/>
          <w:sz w:val="22"/>
          <w:szCs w:val="22"/>
        </w:rPr>
        <w:t xml:space="preserve">Test 3: Anomalie-Reaktion</w:t>
      </w:r>
    </w:p>
    <w:p>
      <w:pPr>
        <w:spacing w:after="140" w:before="0" w:line="300"/>
        <w:jc w:val="both"/>
      </w:pPr>
      <w:r>
        <w:rPr>
          <w:rFonts w:ascii="Aptos" w:cs="Aptos" w:eastAsia="Aptos" w:hAnsi="Aptos"/>
          <w:b/>
          <w:bCs/>
          <w:color w:val="1A1A1A"/>
          <w:sz w:val="21"/>
          <w:szCs w:val="21"/>
        </w:rPr>
        <w:t xml:space="preserve">Vorgehen:</w:t>
      </w:r>
      <w:r>
        <w:rPr>
          <w:rFonts w:ascii="Aptos" w:cs="Aptos" w:eastAsia="Aptos" w:hAnsi="Aptos"/>
          <w:color w:val="1A1A1A"/>
          <w:sz w:val="21"/>
          <w:szCs w:val="21"/>
        </w:rPr>
        <w:t xml:space="preserve"> Eine dokumentierte Anomalie aus den Monatsberichten wählen und ihren Weg nach der Dokumentation verfolgen.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61"/>
        <w:gridCol w:w="1435"/>
        <w:gridCol w:w="1435"/>
        <w:gridCol w:w="1538"/>
        <w:gridCol w:w="1538"/>
        <w:gridCol w:w="1231"/>
      </w:tblGrid>
      <w:tr>
        <w:trPr>
          <w:tblHeader/>
        </w:trPr>
        <w:tc>
          <w:tcPr>
            <w:tcW w:type="dxa" w:w="246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Anomalie (Monat, Abweichung)</w:t>
            </w:r>
          </w:p>
        </w:tc>
        <w:tc>
          <w:tcPr>
            <w:tcW w:type="dxa" w:w="14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Besprechung einberufen?</w:t>
            </w:r>
          </w:p>
        </w:tc>
        <w:tc>
          <w:tcPr>
            <w:tcW w:type="dxa" w:w="14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Ursachenanalyse?</w:t>
            </w:r>
          </w:p>
        </w:tc>
        <w:tc>
          <w:tcPr>
            <w:tcW w:type="dxa" w:w="15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In Managementbewertung?</w:t>
            </w:r>
          </w:p>
        </w:tc>
        <w:tc>
          <w:tcPr>
            <w:tcW w:type="dxa" w:w="15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Entscheidung dokumentiert?</w:t>
            </w:r>
          </w:p>
        </w:tc>
        <w:tc>
          <w:tcPr>
            <w:tcW w:type="dxa" w:w="123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Tage bis Entscheidung</w:t>
            </w:r>
          </w:p>
        </w:tc>
      </w:tr>
      <w:tr>
        <w:trPr>
          <w:cantSplit/>
        </w:trPr>
        <w:tc>
          <w:tcPr>
            <w:tcW w:type="dxa" w:w="24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4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4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5"/>
        <w:gridCol w:w="7333"/>
      </w:tblGrid>
      <w:tr>
        <w:trPr>
          <w:tblHeader/>
        </w:trPr>
        <w:tc>
          <w:tcPr>
            <w:tcW w:type="dxa" w:w="230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73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Evidenz (Fundstellen, Nachweisarten)</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Befund</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Diagnose</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Test 4: Wissensverteilung</w:t>
      </w:r>
    </w:p>
    <w:p>
      <w:pPr>
        <w:spacing w:after="140" w:before="0" w:line="300"/>
        <w:jc w:val="both"/>
      </w:pPr>
      <w:r>
        <w:rPr>
          <w:rFonts w:ascii="Aptos" w:cs="Aptos" w:eastAsia="Aptos" w:hAnsi="Aptos"/>
          <w:b/>
          <w:bCs/>
          <w:color w:val="1A1A1A"/>
          <w:sz w:val="21"/>
          <w:szCs w:val="21"/>
        </w:rPr>
        <w:t xml:space="preserve">Vorgehen:</w:t>
      </w:r>
      <w:r>
        <w:rPr>
          <w:rFonts w:ascii="Aptos" w:cs="Aptos" w:eastAsia="Aptos" w:hAnsi="Aptos"/>
          <w:color w:val="1A1A1A"/>
          <w:sz w:val="21"/>
          <w:szCs w:val="21"/>
        </w:rPr>
        <w:t xml:space="preserve"> Die Interviewergebnisse aller Audittage nach Ebenen zusammenführen. Die Wissenslücke liegt oft auf der ersten operativen Ebene, wo die Verhaltensweisen entstehen.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94"/>
        <w:gridCol w:w="1658"/>
        <w:gridCol w:w="1140"/>
        <w:gridCol w:w="1244"/>
        <w:gridCol w:w="1451"/>
        <w:gridCol w:w="1451"/>
      </w:tblGrid>
      <w:tr>
        <w:trPr>
          <w:tblHeader/>
        </w:trPr>
        <w:tc>
          <w:tcPr>
            <w:tcW w:type="dxa" w:w="269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Ebene</w:t>
            </w:r>
          </w:p>
        </w:tc>
        <w:tc>
          <w:tcPr>
            <w:tcW w:type="dxa" w:w="165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Befragte (davon selbst gewählt)</w:t>
            </w:r>
          </w:p>
        </w:tc>
        <w:tc>
          <w:tcPr>
            <w:tcW w:type="dxa" w:w="114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Kennt Ziele</w:t>
            </w:r>
          </w:p>
        </w:tc>
        <w:tc>
          <w:tcPr>
            <w:tcW w:type="dxa" w:w="124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Kennt Maßnahmen</w:t>
            </w:r>
          </w:p>
        </w:tc>
        <w:tc>
          <w:tcPr>
            <w:tcW w:type="dxa" w:w="145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Kennt Notfallprozeduren</w:t>
            </w:r>
          </w:p>
        </w:tc>
        <w:tc>
          <w:tcPr>
            <w:tcW w:type="dxa" w:w="145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Bewertung</w:t>
            </w:r>
          </w:p>
        </w:tc>
      </w:tr>
      <w:tr>
        <w:trPr>
          <w:cantSplit/>
        </w:trPr>
        <w:tc>
          <w:tcPr>
            <w:tcW w:type="dxa" w:w="2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Direktion und Abteilungsleitungen</w:t>
            </w:r>
          </w:p>
        </w:tc>
        <w:tc>
          <w:tcPr>
            <w:tcW w:type="dxa" w:w="165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Erste operative Ebene</w:t>
            </w:r>
          </w:p>
        </w:tc>
        <w:tc>
          <w:tcPr>
            <w:tcW w:type="dxa" w:w="165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Neues Personal</w:t>
            </w:r>
          </w:p>
        </w:tc>
        <w:tc>
          <w:tcPr>
            <w:tcW w:type="dxa" w:w="165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Nacht- und Wochenendschicht</w:t>
            </w:r>
          </w:p>
        </w:tc>
        <w:tc>
          <w:tcPr>
            <w:tcW w:type="dxa" w:w="165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5"/>
        <w:gridCol w:w="7333"/>
      </w:tblGrid>
      <w:tr>
        <w:trPr>
          <w:tblHeader/>
        </w:trPr>
        <w:tc>
          <w:tcPr>
            <w:tcW w:type="dxa" w:w="230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73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Evidenz (Fundstellen, Nachweisarten)</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Befund</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Diagnose</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Test 5: Widerstand gegen Veränderungen</w:t>
      </w:r>
    </w:p>
    <w:p>
      <w:pPr>
        <w:spacing w:after="140" w:before="0" w:line="300"/>
        <w:jc w:val="both"/>
      </w:pPr>
      <w:r>
        <w:rPr>
          <w:rFonts w:ascii="Aptos" w:cs="Aptos" w:eastAsia="Aptos" w:hAnsi="Aptos"/>
          <w:b/>
          <w:bCs/>
          <w:color w:val="1A1A1A"/>
          <w:sz w:val="21"/>
          <w:szCs w:val="21"/>
        </w:rPr>
        <w:t xml:space="preserve">Vorgehen:</w:t>
      </w:r>
      <w:r>
        <w:rPr>
          <w:rFonts w:ascii="Aptos" w:cs="Aptos" w:eastAsia="Aptos" w:hAnsi="Aptos"/>
          <w:color w:val="1A1A1A"/>
          <w:sz w:val="21"/>
          <w:szCs w:val="21"/>
        </w:rPr>
        <w:t xml:space="preserve"> Für eingeführte Verfahren und Maßnahmen prüfen, ob sie angenommen, in die Einarbeitung übernommen und vollständig umgesetzt sind.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71"/>
        <w:gridCol w:w="1333"/>
        <w:gridCol w:w="2051"/>
        <w:gridCol w:w="1538"/>
        <w:gridCol w:w="1845"/>
      </w:tblGrid>
      <w:tr>
        <w:trPr>
          <w:tblHeader/>
        </w:trPr>
        <w:tc>
          <w:tcPr>
            <w:tcW w:type="dxa" w:w="28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Maßnahme oder Verfahren</w:t>
            </w:r>
          </w:p>
        </w:tc>
        <w:tc>
          <w:tcPr>
            <w:tcW w:type="dxa" w:w="13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Eingeführt am</w:t>
            </w:r>
          </w:p>
        </w:tc>
        <w:tc>
          <w:tcPr>
            <w:tcW w:type="dxa" w:w="205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Akzeptanz (beobachtet)</w:t>
            </w:r>
          </w:p>
        </w:tc>
        <w:tc>
          <w:tcPr>
            <w:tcW w:type="dxa" w:w="15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In der Einarbeitung?</w:t>
            </w:r>
          </w:p>
        </w:tc>
        <w:tc>
          <w:tcPr>
            <w:tcW w:type="dxa" w:w="184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Vollständig umgesetzt?</w:t>
            </w:r>
          </w:p>
        </w:tc>
      </w:tr>
      <w:tr>
        <w:trPr>
          <w:cantSplit/>
        </w:trPr>
        <w:tc>
          <w:tcPr>
            <w:tcW w:type="dxa" w:w="28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8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8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5"/>
        <w:gridCol w:w="7333"/>
      </w:tblGrid>
      <w:tr>
        <w:trPr>
          <w:tblHeader/>
        </w:trPr>
        <w:tc>
          <w:tcPr>
            <w:tcW w:type="dxa" w:w="230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73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Evidenz (Fundstellen, Nachweisarten)</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Befund</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Diagnose</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Test 6: Verhaltensbeständigkeit</w:t>
      </w:r>
    </w:p>
    <w:p>
      <w:pPr>
        <w:spacing w:after="140" w:before="0" w:line="300"/>
        <w:jc w:val="both"/>
      </w:pPr>
      <w:r>
        <w:rPr>
          <w:rFonts w:ascii="Aptos" w:cs="Aptos" w:eastAsia="Aptos" w:hAnsi="Aptos"/>
          <w:b/>
          <w:bCs/>
          <w:color w:val="1A1A1A"/>
          <w:sz w:val="21"/>
          <w:szCs w:val="21"/>
        </w:rPr>
        <w:t xml:space="preserve">Vorgehen:</w:t>
      </w:r>
      <w:r>
        <w:rPr>
          <w:rFonts w:ascii="Aptos" w:cs="Aptos" w:eastAsia="Aptos" w:hAnsi="Aptos"/>
          <w:color w:val="1A1A1A"/>
          <w:sz w:val="21"/>
          <w:szCs w:val="21"/>
        </w:rPr>
        <w:t xml:space="preserve"> Prüfen, ob Verfahren auch unter nicht beobachteten Bedingungen gelten: Nebensaison, Nacht, Wochenende, niedrige Belegung. Beispiel aus dem Buch: Stichprobe der Raumtemperatur-Sollwerte unbelegter Zimmer im Gebäudeleitsystem an Tagen mit niedriger Belegung.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8"/>
        <w:gridCol w:w="2409"/>
        <w:gridCol w:w="3012"/>
        <w:gridCol w:w="2209"/>
      </w:tblGrid>
      <w:tr>
        <w:trPr>
          <w:tblHeader/>
        </w:trPr>
        <w:tc>
          <w:tcPr>
            <w:tcW w:type="dxa" w:w="200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Bedingung</w:t>
            </w:r>
          </w:p>
        </w:tc>
        <w:tc>
          <w:tcPr>
            <w:tcW w:type="dxa" w:w="240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Verfahren</w:t>
            </w:r>
          </w:p>
        </w:tc>
        <w:tc>
          <w:tcPr>
            <w:tcW w:type="dxa" w:w="3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Nachweisquelle (Daten, Befragung, Beobachtung)</w:t>
            </w:r>
          </w:p>
        </w:tc>
        <w:tc>
          <w:tcPr>
            <w:tcW w:type="dxa" w:w="220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Ergebnis</w:t>
            </w:r>
          </w:p>
        </w:tc>
      </w:tr>
      <w:tr>
        <w:trPr>
          <w:cantSplit/>
        </w:trPr>
        <w:tc>
          <w:tcPr>
            <w:tcW w:type="dxa" w:w="20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0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0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5"/>
        <w:gridCol w:w="7333"/>
      </w:tblGrid>
      <w:tr>
        <w:trPr>
          <w:tblHeader/>
        </w:trPr>
        <w:tc>
          <w:tcPr>
            <w:tcW w:type="dxa" w:w="230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73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Evidenz; Hinweis aus eigener Kenntnis? Wodurch bestätigt?</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Befund</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Diagnose</w:t>
            </w:r>
          </w:p>
        </w:tc>
        <w:tc>
          <w:tcPr>
            <w:tcW w:type="dxa" w:w="73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D. Querprüfung mit den Warnsignalen des Glossars</w:t>
      </w:r>
    </w:p>
    <w:p>
      <w:pPr>
        <w:spacing w:after="140" w:before="0" w:line="300"/>
        <w:jc w:val="both"/>
      </w:pPr>
      <w:r>
        <w:rPr>
          <w:rFonts w:ascii="Aptos" w:cs="Aptos" w:eastAsia="Aptos" w:hAnsi="Aptos"/>
          <w:color w:val="1A1A1A"/>
          <w:sz w:val="21"/>
          <w:szCs w:val="21"/>
        </w:rPr>
        <w:t xml:space="preserve">Das Glossar des Bandes ordnet die Signale in fünf Kategorien. Nach der Methodik des Bandes begründen drei oder mehr gleichzeitig aktive Warnsignale den Verdacht auf ein Fassadensystem. Die Nichtkonformität selbst wird an der konkret nicht erfüllten Anforderung festgemacht.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7"/>
        <w:gridCol w:w="3815"/>
        <w:gridCol w:w="803"/>
        <w:gridCol w:w="1606"/>
        <w:gridCol w:w="1607"/>
      </w:tblGrid>
      <w:tr>
        <w:trPr>
          <w:tblHeader/>
        </w:trPr>
        <w:tc>
          <w:tcPr>
            <w:tcW w:type="dxa" w:w="18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Signal</w:t>
            </w:r>
          </w:p>
        </w:tc>
        <w:tc>
          <w:tcPr>
            <w:tcW w:type="dxa" w:w="381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Beispiele laut Glossar</w:t>
            </w:r>
          </w:p>
        </w:tc>
        <w:tc>
          <w:tcPr>
            <w:tcW w:type="dxa" w:w="80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Aktiv?</w:t>
            </w:r>
          </w:p>
        </w:tc>
        <w:tc>
          <w:tcPr>
            <w:tcW w:type="dxa" w:w="16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Nachweis 1</w:t>
            </w:r>
          </w:p>
        </w:tc>
        <w:tc>
          <w:tcPr>
            <w:tcW w:type="dxa" w:w="16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Nachweis 2</w:t>
            </w:r>
          </w:p>
        </w:tc>
      </w:tr>
      <w:tr>
        <w:trPr>
          <w:cantSplit/>
        </w:trPr>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W1 Dokumentation</w:t>
            </w:r>
          </w:p>
        </w:tc>
        <w:tc>
          <w:tcPr>
            <w:tcW w:type="dxa" w:w="38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Nichtkonformitäten ohne Ursachentiefe, Verfahren ohne operative Verankerung</w:t>
            </w:r>
          </w:p>
        </w:tc>
        <w:tc>
          <w:tcPr>
            <w:tcW w:type="dxa" w:w="8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W2 Personal</w:t>
            </w:r>
          </w:p>
        </w:tc>
        <w:tc>
          <w:tcPr>
            <w:tcW w:type="dxa" w:w="38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Nur die Umweltbeauftragte kennt das System</w:t>
            </w:r>
          </w:p>
        </w:tc>
        <w:tc>
          <w:tcPr>
            <w:tcW w:type="dxa" w:w="8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W3 Kennzahlen</w:t>
            </w:r>
          </w:p>
        </w:tc>
        <w:tc>
          <w:tcPr>
            <w:tcW w:type="dxa" w:w="38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Runde Zahlen, keine saisonale Schwankung, drei Jahre identische Werte</w:t>
            </w:r>
          </w:p>
        </w:tc>
        <w:tc>
          <w:tcPr>
            <w:tcW w:type="dxa" w:w="8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W4 Reaktion</w:t>
            </w:r>
          </w:p>
        </w:tc>
        <w:tc>
          <w:tcPr>
            <w:tcW w:type="dxa" w:w="38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Einstudierte Antworten, alle sagen dasselbe</w:t>
            </w:r>
          </w:p>
        </w:tc>
        <w:tc>
          <w:tcPr>
            <w:tcW w:type="dxa" w:w="8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W5 Systemkohärenz</w:t>
            </w:r>
          </w:p>
        </w:tc>
        <w:tc>
          <w:tcPr>
            <w:tcW w:type="dxa" w:w="38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Infrastruktur ohne Gebrauchsspuren, frisch gedruckte Aushänge</w:t>
            </w:r>
          </w:p>
        </w:tc>
        <w:tc>
          <w:tcPr>
            <w:tcW w:type="dxa" w:w="8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E. Gesamtbild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10"/>
        <w:gridCol w:w="2610"/>
        <w:gridCol w:w="3012"/>
        <w:gridCol w:w="1606"/>
      </w:tblGrid>
      <w:tr>
        <w:trPr>
          <w:tblHeader/>
        </w:trPr>
        <w:tc>
          <w:tcPr>
            <w:tcW w:type="dxa" w:w="24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Test</w:t>
            </w:r>
          </w:p>
        </w:tc>
        <w:tc>
          <w:tcPr>
            <w:tcW w:type="dxa" w:w="26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Ergebnis (positiv / Schwachpunkt / Fassadensignal)</w:t>
            </w:r>
          </w:p>
        </w:tc>
        <w:tc>
          <w:tcPr>
            <w:tcW w:type="dxa" w:w="3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Kernevidenz</w:t>
            </w:r>
          </w:p>
        </w:tc>
        <w:tc>
          <w:tcPr>
            <w:tcW w:type="dxa" w:w="16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Nachweisarten</w:t>
            </w:r>
          </w:p>
        </w:tc>
      </w:tr>
      <w:tr>
        <w:trPr>
          <w:cantSplit/>
        </w:trPr>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 Ziel-Rückverfolgbarkeit</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2 Trennung Ergebnisse und System</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3 Anomalie-Reaktion</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 Wissensverteilung</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5 Widerstand gegen Veränderungen</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 Verhaltensbeständigkeit</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spacing w:after="140" w:before="0" w:line="300"/>
        <w:jc w:val="both"/>
      </w:pPr>
      <w:r>
        <w:rPr>
          <w:rFonts w:ascii="Aptos" w:cs="Aptos" w:eastAsia="Aptos" w:hAnsi="Aptos"/>
          <w:b/>
          <w:bCs/>
          <w:color w:val="1A1A1A"/>
          <w:sz w:val="21"/>
          <w:szCs w:val="21"/>
        </w:rPr>
        <w:t xml:space="preserve">Reifestand.</w:t>
      </w:r>
      <w:r>
        <w:rPr>
          <w:rFonts w:ascii="Aptos" w:cs="Aptos" w:eastAsia="Aptos" w:hAnsi="Aptos"/>
          <w:color w:val="1A1A1A"/>
          <w:sz w:val="21"/>
          <w:szCs w:val="21"/>
        </w:rPr>
        <w:t xml:space="preserve"> Das Buch nennt vier Systemreifegrade, gibt aber keine festen Kriterien vor. Das Haus legt seine Kriterien selbst fest und begründet die Einordnung mit den Ergebnissen der Tests.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10"/>
        <w:gridCol w:w="3012"/>
        <w:gridCol w:w="1004"/>
        <w:gridCol w:w="3012"/>
      </w:tblGrid>
      <w:tr>
        <w:trPr>
          <w:tblHeader/>
        </w:trPr>
        <w:tc>
          <w:tcPr>
            <w:tcW w:type="dxa" w:w="26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Reifegrad</w:t>
            </w:r>
          </w:p>
        </w:tc>
        <w:tc>
          <w:tcPr>
            <w:tcW w:type="dxa" w:w="3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Kriterien des Hauses</w:t>
            </w:r>
          </w:p>
        </w:tc>
        <w:tc>
          <w:tcPr>
            <w:tcW w:type="dxa" w:w="10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Zutreffend?</w:t>
            </w:r>
          </w:p>
        </w:tc>
        <w:tc>
          <w:tcPr>
            <w:tcW w:type="dxa" w:w="3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Begründung aus den Tests</w:t>
            </w:r>
          </w:p>
        </w:tc>
      </w:tr>
      <w:tr>
        <w:trPr>
          <w:cantSplit/>
        </w:trPr>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 System in der Aufbauphase</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2 Funktionierendes System mit Vulnerabilitäten</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3 Reifes System</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 Exzellentes System</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84"/>
        <w:gridCol w:w="5354"/>
      </w:tblGrid>
      <w:tr>
        <w:trPr>
          <w:tblHeader/>
        </w:trPr>
        <w:tc>
          <w:tcPr>
            <w:tcW w:type="dxa" w:w="42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535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Diagnose in einem Satz (Muster: «Das System zeigt diese Merkmale aus diesen Gründen. Sie lassen sich mit diesen Maßnahmen angehen.»)</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Richtung des nächsten Zyklus (z. B. von technischer Investition zu Kompetenzaufbau)</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Konkret nicht erfüllte Anforderungen, falls Nichtkonformität (Klausel, etwa 6.2, 7.3, 9.1, 9.3 oder 10.1)</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Prüfung von Umweltaussagen in Marketing und Angeboten gegen gemessene Werte veranlasst?</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Gegenlesung erfolgt (Name, Datum, Ergebnis)</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spacing w:after="140" w:before="0" w:line="300"/>
        <w:jc w:val="both"/>
      </w:pPr>
      <w:r>
        <w:rPr>
          <w:rFonts w:ascii="Aptos" w:cs="Aptos" w:eastAsia="Aptos" w:hAnsi="Aptos"/>
          <w:color w:val="1A1A1A"/>
          <w:sz w:val="21"/>
          <w:szCs w:val="21"/>
        </w:rPr>
        <w:t xml:space="preserve">Die systemische Diagnose steht im Auditbericht als eigener Teil, getrennt von der Liste der Nichtkonformitäten nach Klausel. Für das Monitoring über mehrere Zyklen eignen sich drei Kennzahlen. Die Verhaltenskomponente getrennt von der Technik, das Wissensprofil aus den Interviews und die mittlere Zeit von der Anomalie bis zur Entscheidung.</w:t>
      </w:r>
    </w:p>
    <w:p>
      <w:pPr>
        <w:spacing w:after="140" w:before="0" w:line="300"/>
        <w:jc w:val="both"/>
      </w:pPr>
      <w:r>
        <w:rPr>
          <w:rFonts w:ascii="Aptos" w:cs="Aptos" w:eastAsia="Aptos" w:hAnsi="Aptos"/>
          <w:color w:val="1A1A1A"/>
          <w:sz w:val="19"/>
          <w:szCs w:val="19"/>
        </w:rPr>
        <w:t xml:space="preserve">Zu Umweltaussagen nennt das Buch den Rechtsstand: Die nationalen Umsetzungen der Richtlinie (EU) 2024/825 sind in Deutschland und Österreich seit 27. September 2026 anwendbar; in der Schweiz gilt Art. 3 Abs. 1 Bst. x UWG. Die Einzelheiten sind an der geltenden Fassung zu prüfen.</w:t>
      </w: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Material ersetzt nicht die ISO 14001:2026 und nicht das Urteil des Auditors. Es ist keine Rechtsberatung. Jedes Haus passt die Tests und die Reifekriterien an seine Größe und Reife an. Rechtsstand: 11. Oktober 2026.</w:t>
      </w:r>
    </w:p>
    <w:p>
      <w:pPr>
        <w:spacing w:after="140" w:before="0" w:line="300"/>
        <w:jc w:val="both"/>
      </w:pPr>
      <w:r>
        <w:rPr>
          <w:rFonts w:ascii="Aptos" w:cs="Aptos" w:eastAsia="Aptos" w:hAnsi="Aptos"/>
          <w:b/>
          <w:bCs/>
          <w:color w:val="1A1A1A"/>
          <w:sz w:val="21"/>
          <w:szCs w:val="21"/>
        </w:rPr>
        <w:t xml:space="preserve">Bezug im Buch: Band 1b, Abschnitt 3.10</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1b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2026-10-11T23:11:41.644Z</dcterms:created>
  <dcterms:modified xsi:type="dcterms:W3CDTF">2026-10-11T23:11:41.645Z</dcterms:modified>
</cp:coreProperties>
</file>

<file path=docProps/custom.xml><?xml version="1.0" encoding="utf-8"?>
<Properties xmlns="http://schemas.openxmlformats.org/officeDocument/2006/custom-properties" xmlns:vt="http://schemas.openxmlformats.org/officeDocument/2006/docPropsVTypes"/>
</file>