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3.2</w:t>
      </w:r>
    </w:p>
    <w:p>
      <w:pPr>
        <w:pStyle w:val="Heading1"/>
        <w:spacing w:after="120" w:line="360"/>
      </w:pPr>
      <w:r>
        <w:rPr>
          <w:rFonts w:ascii="Aptos" w:cs="Aptos" w:eastAsia="Aptos" w:hAnsi="Aptos"/>
          <w:b/>
          <w:bCs/>
          <w:color w:val="002060"/>
          <w:sz w:val="36"/>
          <w:szCs w:val="36"/>
        </w:rPr>
        <w:t xml:space="preserve">Kompetenzprofil und Entwicklungsplan des internen Auditors</w:t>
      </w:r>
    </w:p>
    <w:p>
      <w:pPr>
        <w:spacing w:after="200"/>
      </w:pPr>
      <w:r>
        <w:rPr>
          <w:rFonts w:ascii="Aptos" w:cs="Aptos" w:eastAsia="Aptos" w:hAnsi="Aptos"/>
          <w:i/>
          <w:iCs/>
          <w:color w:val="5A5A5A"/>
          <w:sz w:val="22"/>
          <w:szCs w:val="22"/>
        </w:rPr>
        <w:t xml:space="preserve">Arbeitsblätter für Profil, Selbst- und Fremdbewertung, Stufenplan und Nachweise</w:t>
      </w:r>
    </w:p>
    <w:p>
      <w:pPr>
        <w:pBdr>
          <w:bottom w:val="single" w:color="C9BBA6" w:sz="6" w:space="4"/>
        </w:pBdr>
        <w:spacing w:after="240"/>
      </w:pPr>
      <w:r>
        <w:rPr>
          <w:rFonts w:ascii="Aptos" w:cs="Aptos" w:eastAsia="Aptos" w:hAnsi="Aptos"/>
          <w:color w:val="5A5A5A"/>
          <w:sz w:val="17"/>
          <w:szCs w:val="17"/>
        </w:rPr>
        <w:t xml:space="preserve">Stand: 11. Oktober 2026 · buecher.effedore.com</w:t>
      </w:r>
    </w:p>
    <w:p>
      <w:pPr>
        <w:keepNext/>
        <w:spacing w:after="120" w:before="280"/>
      </w:pPr>
      <w:r>
        <w:rPr>
          <w:rFonts w:ascii="Aptos" w:cs="Aptos" w:eastAsia="Aptos" w:hAnsi="Aptos"/>
          <w:b/>
          <w:bCs/>
          <w:color w:val="8C5A2B"/>
          <w:sz w:val="26"/>
          <w:szCs w:val="26"/>
        </w:rPr>
        <w:t xml:space="preserve">A. Grundsätze für das Profil</w:t>
      </w:r>
    </w:p>
    <w:p>
      <w:pPr>
        <w:pStyle w:val="ListParagraph"/>
        <w:numPr>
          <w:ilvl w:val="0"/>
          <w:numId w:val="2"/>
        </w:numPr>
        <w:spacing w:after="70" w:line="290"/>
        <w:jc w:val="left"/>
      </w:pPr>
      <w:r>
        <w:rPr>
          <w:rFonts w:ascii="Aptos" w:cs="Aptos" w:eastAsia="Aptos" w:hAnsi="Aptos"/>
          <w:b/>
          <w:bCs/>
          <w:color w:val="1A1A1A"/>
          <w:sz w:val="21"/>
          <w:szCs w:val="21"/>
        </w:rPr>
        <w:t xml:space="preserve">Der Maßstab ist der Auftrag.</w:t>
      </w:r>
      <w:r>
        <w:rPr>
          <w:rFonts w:ascii="Aptos" w:cs="Aptos" w:eastAsia="Aptos" w:hAnsi="Aptos"/>
          <w:color w:val="1A1A1A"/>
          <w:sz w:val="21"/>
          <w:szCs w:val="21"/>
        </w:rPr>
        <w:t xml:space="preserve"> Das Profil folgt dem Auditprogramm. Wer welche Klauseln prüft, muss genau für diese Klauseln nachweisbar kompetent sein.</w:t>
      </w:r>
    </w:p>
    <w:p>
      <w:pPr>
        <w:pStyle w:val="ListParagraph"/>
        <w:numPr>
          <w:ilvl w:val="0"/>
          <w:numId w:val="2"/>
        </w:numPr>
        <w:spacing w:after="70" w:line="290"/>
        <w:jc w:val="left"/>
      </w:pPr>
      <w:r>
        <w:rPr>
          <w:rFonts w:ascii="Aptos" w:cs="Aptos" w:eastAsia="Aptos" w:hAnsi="Aptos"/>
          <w:b/>
          <w:bCs/>
          <w:color w:val="1A1A1A"/>
          <w:sz w:val="21"/>
          <w:szCs w:val="21"/>
        </w:rPr>
        <w:t xml:space="preserve">Drei Dimensionen.</w:t>
      </w:r>
      <w:r>
        <w:rPr>
          <w:rFonts w:ascii="Aptos" w:cs="Aptos" w:eastAsia="Aptos" w:hAnsi="Aptos"/>
          <w:color w:val="1A1A1A"/>
          <w:sz w:val="21"/>
          <w:szCs w:val="21"/>
        </w:rPr>
        <w:t xml:space="preserve"> Technisch-normativ, methodologisch, relational. Sie entwickeln sich unterschiedlich schnell: wenige Monate, ein bis zwei Jahre angeleitete Praxis, drei bis fünf Jahre reflexive Erfahrung.</w:t>
      </w:r>
    </w:p>
    <w:p>
      <w:pPr>
        <w:pStyle w:val="ListParagraph"/>
        <w:numPr>
          <w:ilvl w:val="0"/>
          <w:numId w:val="2"/>
        </w:numPr>
        <w:spacing w:after="70" w:line="290"/>
        <w:jc w:val="left"/>
      </w:pPr>
      <w:r>
        <w:rPr>
          <w:rFonts w:ascii="Aptos" w:cs="Aptos" w:eastAsia="Aptos" w:hAnsi="Aptos"/>
          <w:b/>
          <w:bCs/>
          <w:color w:val="1A1A1A"/>
          <w:sz w:val="21"/>
          <w:szCs w:val="21"/>
        </w:rPr>
        <w:t xml:space="preserve">Der Kurs allein genügt nicht.</w:t>
      </w:r>
      <w:r>
        <w:rPr>
          <w:rFonts w:ascii="Aptos" w:cs="Aptos" w:eastAsia="Aptos" w:hAnsi="Aptos"/>
          <w:color w:val="1A1A1A"/>
          <w:sz w:val="21"/>
          <w:szCs w:val="21"/>
        </w:rPr>
        <w:t xml:space="preserve"> Ein Auditor, der nur den Kurs absolviert hat, ist noch nicht bereit für ein autonomes Audit an einem realen System.</w:t>
      </w:r>
    </w:p>
    <w:p>
      <w:pPr>
        <w:pStyle w:val="ListParagraph"/>
        <w:numPr>
          <w:ilvl w:val="0"/>
          <w:numId w:val="2"/>
        </w:numPr>
        <w:spacing w:after="70" w:line="290"/>
        <w:jc w:val="left"/>
      </w:pPr>
      <w:r>
        <w:rPr>
          <w:rFonts w:ascii="Aptos" w:cs="Aptos" w:eastAsia="Aptos" w:hAnsi="Aptos"/>
          <w:b/>
          <w:bCs/>
          <w:color w:val="1A1A1A"/>
          <w:sz w:val="21"/>
          <w:szCs w:val="21"/>
        </w:rPr>
        <w:t xml:space="preserve">Unparteilichkeit der Bewertung.</w:t>
      </w:r>
      <w:r>
        <w:rPr>
          <w:rFonts w:ascii="Aptos" w:cs="Aptos" w:eastAsia="Aptos" w:hAnsi="Aptos"/>
          <w:color w:val="1A1A1A"/>
          <w:sz w:val="21"/>
          <w:szCs w:val="21"/>
        </w:rPr>
        <w:t xml:space="preserve"> Wer den Auditor ausbildet und zugleich von ihm auditiert wird, bewertet ihn nicht allein. Gute Praxis ist eine zumindest teilweise Bewertung durch eine andere Person, etwa die Direktion oder einen externen Begleiter.</w:t>
      </w:r>
    </w:p>
    <w:p>
      <w:pPr>
        <w:pStyle w:val="ListParagraph"/>
        <w:numPr>
          <w:ilvl w:val="0"/>
          <w:numId w:val="2"/>
        </w:numPr>
        <w:spacing w:after="70" w:line="290"/>
        <w:jc w:val="left"/>
      </w:pPr>
      <w:r>
        <w:rPr>
          <w:rFonts w:ascii="Aptos" w:cs="Aptos" w:eastAsia="Aptos" w:hAnsi="Aptos"/>
          <w:b/>
          <w:bCs/>
          <w:color w:val="1A1A1A"/>
          <w:sz w:val="21"/>
          <w:szCs w:val="21"/>
        </w:rPr>
        <w:t xml:space="preserve">Unabhängigkeit im Audit.</w:t>
      </w:r>
      <w:r>
        <w:rPr>
          <w:rFonts w:ascii="Aptos" w:cs="Aptos" w:eastAsia="Aptos" w:hAnsi="Aptos"/>
          <w:color w:val="1A1A1A"/>
          <w:sz w:val="21"/>
          <w:szCs w:val="21"/>
        </w:rPr>
        <w:t xml:space="preserve"> Prozesse in eigener Verantwortung des Auditors prüft ein anderer kompetenter und ausreichend unabhängiger Auditor.</w:t>
      </w:r>
    </w:p>
    <w:p>
      <w:pPr>
        <w:pStyle w:val="ListParagraph"/>
        <w:numPr>
          <w:ilvl w:val="0"/>
          <w:numId w:val="2"/>
        </w:numPr>
        <w:spacing w:after="70" w:line="290"/>
        <w:jc w:val="left"/>
      </w:pPr>
      <w:r>
        <w:rPr>
          <w:rFonts w:ascii="Aptos" w:cs="Aptos" w:eastAsia="Aptos" w:hAnsi="Aptos"/>
          <w:b/>
          <w:bCs/>
          <w:color w:val="1A1A1A"/>
          <w:sz w:val="21"/>
          <w:szCs w:val="21"/>
        </w:rPr>
        <w:t xml:space="preserve">Zweite Person mitführen.</w:t>
      </w:r>
      <w:r>
        <w:rPr>
          <w:rFonts w:ascii="Aptos" w:cs="Aptos" w:eastAsia="Aptos" w:hAnsi="Aptos"/>
          <w:color w:val="1A1A1A"/>
          <w:sz w:val="21"/>
          <w:szCs w:val="21"/>
        </w:rPr>
        <w:t xml:space="preserve"> Die Auditfähigkeit hängt oft an einer Person. Eine zweite Person nimmt von Beginn an zumindest als Beobachterin an den Audits teil.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Normbezug </w:t>
            </w:r>
            <w:r>
              <w:rPr>
                <w:rFonts w:ascii="Aptos" w:cs="Aptos" w:eastAsia="Aptos" w:hAnsi="Aptos"/>
                <w:color w:val="1A1A1A"/>
                <w:sz w:val="21"/>
                <w:szCs w:val="21"/>
              </w:rPr>
              <w:t xml:space="preserve">ISO 14001:2026 verlangt in Klausel 9.2 die Auswahl von Auditoren, die Objektivität und Unparteilichkeit des Auditprozesses sicherstellen. Kompetenzanforderungen im Detail nennt sie nicht. Methodischer Rahmen ist die ISO 19011:2026 mit allgemeinen und disziplinspezifischen Kompetenzen. Sie sieht Selbstbewertung, Peer Review und, wo anwendbar, Prüfung durch den Verantwortlichen des Auditprogramms vor.</w:t>
            </w:r>
          </w:p>
        </w:tc>
      </w:tr>
    </w:tbl>
    <w:p>
      <w:pPr>
        <w:spacing w:after="120"/>
      </w:pPr>
    </w:p>
    <w:p>
      <w:pPr>
        <w:keepNext/>
        <w:spacing w:after="120" w:before="280"/>
      </w:pPr>
      <w:r>
        <w:rPr>
          <w:rFonts w:ascii="Aptos" w:cs="Aptos" w:eastAsia="Aptos" w:hAnsi="Aptos"/>
          <w:b/>
          <w:bCs/>
          <w:color w:val="8C5A2B"/>
          <w:sz w:val="26"/>
          <w:szCs w:val="26"/>
        </w:rPr>
        <w:t xml:space="preserve">B. Stammdaten und Auftrag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313"/>
        <w:gridCol w:w="2506"/>
        <w:gridCol w:w="2313"/>
      </w:tblGrid>
      <w:tr>
        <w:trPr>
          <w:tblHeader/>
        </w:trPr>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Name des Auditors</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Primärfunktion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Programmverantwortlicher</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Fremdbewertung durch (nicht vom Auditor auditiert)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Zweite Person (Beobachterin)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 der Erstbewertung</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Version, Datum</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B1. Auftrag laut Auditprogramm</w:t>
      </w:r>
    </w:p>
    <w:p>
      <w:pPr>
        <w:spacing w:after="140" w:before="0" w:line="300"/>
        <w:jc w:val="both"/>
      </w:pPr>
      <w:r>
        <w:rPr>
          <w:rFonts w:ascii="Aptos" w:cs="Aptos" w:eastAsia="Aptos" w:hAnsi="Aptos"/>
          <w:color w:val="1A1A1A"/>
          <w:sz w:val="21"/>
          <w:szCs w:val="21"/>
        </w:rPr>
        <w:t xml:space="preserve">Tragen Sie je Bereich ein, ob der Auditor dort Tiefe oder Überblick braucht. Fällt der Bereich in seine eigene Verantwortung, nennen Sie den zweiten Auditor.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928"/>
        <w:gridCol w:w="1928"/>
        <w:gridCol w:w="2891"/>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 oder Klausel</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Tiefe / Überblick</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Eigene Verantwortung? (ja/nein)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Prüfung durch zweiten Auditor (Name)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Technik und Haustechnik</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Küche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Housekeeping und Zimmer</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Spa</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Einkauf</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Rezeption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Verkauf und Marketing</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Direktion und Planung</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Kompetenzprofil mit Selbst- und Fremdbewertung</w:t>
      </w:r>
    </w:p>
    <w:p>
      <w:pPr>
        <w:spacing w:after="140" w:before="0" w:line="300"/>
        <w:jc w:val="both"/>
      </w:pPr>
      <w:r>
        <w:rPr>
          <w:rFonts w:ascii="Aptos" w:cs="Aptos" w:eastAsia="Aptos" w:hAnsi="Aptos"/>
          <w:color w:val="1A1A1A"/>
          <w:sz w:val="21"/>
          <w:szCs w:val="21"/>
        </w:rPr>
        <w:t xml:space="preserve">Das geforderte Niveau («Soll») richtet sich nach dem Auftrag aus B1. Die letzte Spalte nennt, woran die Bewertung festgemacht ist.</w:t>
      </w:r>
    </w:p>
    <w:p>
      <w:pPr>
        <w:spacing w:after="140" w:before="0" w:line="300"/>
        <w:jc w:val="both"/>
      </w:pPr>
      <w:r>
        <w:rPr>
          <w:rFonts w:ascii="Aptos" w:cs="Aptos" w:eastAsia="Aptos" w:hAnsi="Aptos"/>
          <w:b/>
          <w:bCs/>
          <w:color w:val="1A1A1A"/>
          <w:sz w:val="21"/>
          <w:szCs w:val="21"/>
        </w:rPr>
        <w:t xml:space="preserve">Arbeitsskala</w:t>
      </w:r>
      <w:r>
        <w:rPr>
          <w:rFonts w:ascii="Aptos" w:cs="Aptos" w:eastAsia="Aptos" w:hAnsi="Aptos"/>
          <w:color w:val="1A1A1A"/>
          <w:sz w:val="21"/>
          <w:szCs w:val="21"/>
        </w:rPr>
        <w:t xml:space="preserve"> dieses Materials, keine Normvorgabe. Stufen: 0 nicht vorhanden; 1 Grundkenntnis aus dem Kurs; 2 mit Begleitung anwendbar; 3 autonom mit Überprüfung; 4 autonom, kann andere anleiten.</w:t>
      </w:r>
    </w:p>
    <w:p>
      <w:pPr>
        <w:keepNext/>
        <w:spacing w:after="90" w:before="200"/>
      </w:pPr>
      <w:r>
        <w:rPr>
          <w:rFonts w:ascii="Aptos" w:cs="Aptos" w:eastAsia="Aptos" w:hAnsi="Aptos"/>
          <w:b/>
          <w:bCs/>
          <w:color w:val="002060"/>
          <w:sz w:val="22"/>
          <w:szCs w:val="22"/>
        </w:rPr>
        <w:t xml:space="preserve">C1. Technisch-normative Kompetenz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93"/>
        <w:gridCol w:w="754"/>
        <w:gridCol w:w="838"/>
        <w:gridCol w:w="838"/>
        <w:gridCol w:w="2515"/>
      </w:tblGrid>
      <w:tr>
        <w:trPr>
          <w:tblHeader/>
        </w:trPr>
        <w:tc>
          <w:tcPr>
            <w:tcW w:type="dxa" w:w="469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Kompetenzelement</w:t>
            </w:r>
          </w:p>
        </w:tc>
        <w:tc>
          <w:tcPr>
            <w:tcW w:type="dxa" w:w="7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Soll</w:t>
            </w:r>
          </w:p>
        </w:tc>
        <w:tc>
          <w:tcPr>
            <w:tcW w:type="dxa" w:w="8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Selbst</w:t>
            </w:r>
          </w:p>
        </w:tc>
        <w:tc>
          <w:tcPr>
            <w:tcW w:type="dxa" w:w="8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Fremd</w:t>
            </w:r>
          </w:p>
        </w:tc>
        <w:tc>
          <w:tcPr>
            <w:tcW w:type="dxa" w:w="25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Lücke, Priorität</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Struktur und Logik der ISO 14001:2026 als Zyklus, nicht als Liste</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Neuerungen 2026: Klausel 6.1.4 (Risiken und Chancen), Maßnahmenplanung in 6.1.5, Klausel 6.3 (Planung von Änderungen), geänderte Struktur von Abschnitt 10</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Unterscheidung zwischen Normanforderung und empfohlener guter Praxis</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Wesentliche Umweltaspekte des Hauses: Energie, Wasser, Emissionen, Abfall, Supply Chain, normative Konformität</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Branchenvorschriften: F-Gas-Verordnung, Abwassereinleitungen, Sonderabfälle, SUP-Richtlinie</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Datenanfragen CSRD-pflichtiger Corporate-Kunden (begründen beim Hotel selbst keine CSRD-Pflicht)</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Rechtsstand des eigenen Landes, etwa in Deutschland das GModG seit 29. Juli 2026 statt des GEG</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Operative Verfahren des eigenen Systems und Konformitätspflichtregister</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C2. Methodologische Kompetenz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93"/>
        <w:gridCol w:w="754"/>
        <w:gridCol w:w="838"/>
        <w:gridCol w:w="838"/>
        <w:gridCol w:w="2515"/>
      </w:tblGrid>
      <w:tr>
        <w:trPr>
          <w:tblHeader/>
        </w:trPr>
        <w:tc>
          <w:tcPr>
            <w:tcW w:type="dxa" w:w="469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Kompetenzelement</w:t>
            </w:r>
          </w:p>
        </w:tc>
        <w:tc>
          <w:tcPr>
            <w:tcW w:type="dxa" w:w="7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Soll</w:t>
            </w:r>
          </w:p>
        </w:tc>
        <w:tc>
          <w:tcPr>
            <w:tcW w:type="dxa" w:w="8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Selbst</w:t>
            </w:r>
          </w:p>
        </w:tc>
        <w:tc>
          <w:tcPr>
            <w:tcW w:type="dxa" w:w="8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Fremd</w:t>
            </w:r>
          </w:p>
        </w:tc>
        <w:tc>
          <w:tcPr>
            <w:tcW w:type="dxa" w:w="25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Lücke, Priorität</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Audit risikoproportional planen</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Operative Checklisten erstellen: spezifische Fragen für das Haus, keine Kopie der Norm</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Evidenzen aus mehreren Quellen sammeln: Dokumente, Interviews, direkte Beobachtung</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Evidenzen erst sammeln, dann bewerten</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Befunde proportional klassifizieren (schwere und leichte Nichtkonformität, Beobachtung)</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Auditnotizen so führen, dass Dritte jeden Befund bis zur Quelle nachvollziehen</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Bericht so abfassen, dass er Entscheidungen statt Verteidigung erzeugt</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C3. Relationale Kompetenz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93"/>
        <w:gridCol w:w="754"/>
        <w:gridCol w:w="838"/>
        <w:gridCol w:w="838"/>
        <w:gridCol w:w="2515"/>
      </w:tblGrid>
      <w:tr>
        <w:trPr>
          <w:tblHeader/>
        </w:trPr>
        <w:tc>
          <w:tcPr>
            <w:tcW w:type="dxa" w:w="469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Kompetenzelement</w:t>
            </w:r>
          </w:p>
        </w:tc>
        <w:tc>
          <w:tcPr>
            <w:tcW w:type="dxa" w:w="7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Soll</w:t>
            </w:r>
          </w:p>
        </w:tc>
        <w:tc>
          <w:tcPr>
            <w:tcW w:type="dxa" w:w="8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Selbst</w:t>
            </w:r>
          </w:p>
        </w:tc>
        <w:tc>
          <w:tcPr>
            <w:tcW w:type="dxa" w:w="8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Fremd</w:t>
            </w:r>
          </w:p>
        </w:tc>
        <w:tc>
          <w:tcPr>
            <w:tcW w:type="dxa" w:w="25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Lücke, Priorität</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Gespräche so führen, dass sich das Personal in seiner Arbeit überprüft fühlt, nicht als Person bewertet</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Mit Spannungen umgehen, wenn Personal Befunde minimiert oder rechtfertigt</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Ergebnisse, auch negative, konstruktiv an die Direktion kommunizieren</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9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Objektiv bleiben beim Audit eines Systems, das Kollegen aufgebaut haben; Befunde nicht mildern</w:t>
            </w:r>
          </w:p>
        </w:tc>
        <w:tc>
          <w:tcPr>
            <w:tcW w:type="dxa" w:w="7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C4. Persönliches Verhalten nach ISO 19011:2026 (nach Beobachtung im Audit bewerten)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867"/>
        <w:gridCol w:w="867"/>
        <w:gridCol w:w="3084"/>
        <w:gridCol w:w="867"/>
        <w:gridCol w:w="869"/>
      </w:tblGrid>
      <w:tr>
        <w:trPr>
          <w:tblHeader/>
        </w:trPr>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Merkmal</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Selbst</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Fremd</w:t>
            </w:r>
          </w:p>
        </w:tc>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Merkmal</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Selbst</w:t>
            </w:r>
          </w:p>
        </w:tc>
        <w:tc>
          <w:tcPr>
            <w:tcW w:type="dxa" w:w="86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Fremd</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Kenntnis der Auditgrundsätze</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Berufsethik</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Offene Geisteshaltung</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Diplomatiegefühl</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Scharfsinn</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Vielseitigkeit</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Beharrlichkeit</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Entschlusskraft</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Eigenständigkeit</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Beobachtet in (Audit, Datum)</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D. Prüffragen an das Profil je Hotelbereich</w:t>
      </w:r>
    </w:p>
    <w:p>
      <w:pPr>
        <w:spacing w:after="140" w:before="0" w:line="300"/>
        <w:jc w:val="both"/>
      </w:pPr>
      <w:r>
        <w:rPr>
          <w:rFonts w:ascii="Aptos" w:cs="Aptos" w:eastAsia="Aptos" w:hAnsi="Aptos"/>
          <w:color w:val="1A1A1A"/>
          <w:sz w:val="21"/>
          <w:szCs w:val="21"/>
        </w:rPr>
        <w:t xml:space="preserve">Das Profil benennt je Bereich, was der Auditor dort verstehen muss. Die Bewertung zeigt, dass er es versteht. Die folgenden Prüffragen stammen aus Abschnitt 3.2.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12"/>
        <w:gridCol w:w="3780"/>
        <w:gridCol w:w="3213"/>
        <w:gridCol w:w="1133"/>
      </w:tblGrid>
      <w:tr>
        <w:trPr>
          <w:tblHeader/>
        </w:trPr>
        <w:tc>
          <w:tcPr>
            <w:tcW w:type="dxa" w:w="15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w:t>
            </w:r>
          </w:p>
        </w:tc>
        <w:tc>
          <w:tcPr>
            <w:tcW w:type="dxa" w:w="3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Prüffrage an den Auditor</w:t>
            </w:r>
          </w:p>
        </w:tc>
        <w:tc>
          <w:tcPr>
            <w:tcW w:type="dxa" w:w="32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Erwarteter Nachweis</w:t>
            </w:r>
          </w:p>
        </w:tc>
        <w:tc>
          <w:tcPr>
            <w:tcW w:type="dxa" w:w="11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Erfüllt? (ja/teilw./nein)</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Technik</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Kann er ein Wartungsprotokoll nach F-Gas-Verordnung lesen und eine überfällige Dichtheitsprüfung erkennen?</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Auditnotizen mit konkreten Anlagen, Füllmengen und Prüfdaten</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Küche</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Kennt er die Entsorgungswege für Speisereste und Altfett samt Nachweisen?</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Checkliste mit Fragen zu Entsorgungsbelegen, nicht nur zur Mülltrennung</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Spa</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Versteht er den Zusammenhang von Wasseraufbereitung, Chemikalienlagerung und Abwasser?</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Begehungsnotiz mit Lagerort, Sicherheitsdatenblättern und Rückspülmengen</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Einkauf</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Kann er beurteilen, ob Umweltkriterien bei Bestellungen tatsächlich angewendet werden?</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Stichprobe von Bestellungen mit Abgleich gegen die Kriterien</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Rezeption</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Kennt er die Gästeinformationen zu Umweltthemen, etwa zum Handtuch- und Wäschewechsel?</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Gesprächsnotiz mit Rezeption, Abgleich mit der Zimmerinformation</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Verkauf und Marketing</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Erkennt er Umweltaussagen, die in Deutschland und Österreich seit 27. September 2026 unter die Umsetzung der Richtlinie (EU) 2024/825 fallen, in der Schweiz unter Art. 3 Abs. 1 Bst. x UWG?</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Prüfnotiz zu Website und Angebotsunterlagen</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Direktion</w:t>
            </w:r>
          </w:p>
        </w:tc>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Ist die Aktualisierung der Auditorkompetenz an Norm- und Rechtsänderungen geplant?</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Schulungsnachweis zur Ausgabe 2026, datiertes und aktualisiertes Profil</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Ablauf der Selbst- und Fremdbewertung</w:t>
      </w:r>
    </w:p>
    <w:p>
      <w:pPr>
        <w:pStyle w:val="ListParagraph"/>
        <w:numPr>
          <w:ilvl w:val="0"/>
          <w:numId w:val="3"/>
        </w:numPr>
        <w:spacing w:after="70" w:line="290"/>
        <w:jc w:val="left"/>
      </w:pPr>
      <w:r>
        <w:rPr>
          <w:rFonts w:ascii="Aptos" w:cs="Aptos" w:eastAsia="Aptos" w:hAnsi="Aptos"/>
          <w:color w:val="1A1A1A"/>
          <w:sz w:val="21"/>
          <w:szCs w:val="21"/>
        </w:rPr>
        <w:t xml:space="preserve">Der Auditor füllt die Spalte «Selbst» in C1 bis C4 aus und nennt je Element einen Nachweis.</w:t>
      </w:r>
    </w:p>
    <w:p>
      <w:pPr>
        <w:pStyle w:val="ListParagraph"/>
        <w:numPr>
          <w:ilvl w:val="0"/>
          <w:numId w:val="3"/>
        </w:numPr>
        <w:spacing w:after="70" w:line="290"/>
        <w:jc w:val="left"/>
      </w:pPr>
      <w:r>
        <w:rPr>
          <w:rFonts w:ascii="Aptos" w:cs="Aptos" w:eastAsia="Aptos" w:hAnsi="Aptos"/>
          <w:color w:val="1A1A1A"/>
          <w:sz w:val="21"/>
          <w:szCs w:val="21"/>
        </w:rPr>
        <w:t xml:space="preserve">Der Verantwortliche des Auditprogramms füllt die Spalte «Fremd» aus. Ein Teil der Bewertung liegt bei einer Person, die der Auditor nicht auditiert.</w:t>
      </w:r>
    </w:p>
    <w:p>
      <w:pPr>
        <w:pStyle w:val="ListParagraph"/>
        <w:numPr>
          <w:ilvl w:val="0"/>
          <w:numId w:val="3"/>
        </w:numPr>
        <w:spacing w:after="70" w:line="290"/>
        <w:jc w:val="left"/>
      </w:pPr>
      <w:r>
        <w:rPr>
          <w:rFonts w:ascii="Aptos" w:cs="Aptos" w:eastAsia="Aptos" w:hAnsi="Aptos"/>
          <w:color w:val="1A1A1A"/>
          <w:sz w:val="21"/>
          <w:szCs w:val="21"/>
        </w:rPr>
        <w:t xml:space="preserve">Ein erfahrener Auditor begleitet ein Audit oder einen Teil davon als stiller Zeuge und notiert, wie der Auditor tatsächlich befragt.</w:t>
      </w:r>
    </w:p>
    <w:p>
      <w:pPr>
        <w:pStyle w:val="ListParagraph"/>
        <w:numPr>
          <w:ilvl w:val="0"/>
          <w:numId w:val="3"/>
        </w:numPr>
        <w:spacing w:after="70" w:line="290"/>
        <w:jc w:val="left"/>
      </w:pPr>
      <w:r>
        <w:rPr>
          <w:rFonts w:ascii="Aptos" w:cs="Aptos" w:eastAsia="Aptos" w:hAnsi="Aptos"/>
          <w:color w:val="1A1A1A"/>
          <w:sz w:val="21"/>
          <w:szCs w:val="21"/>
        </w:rPr>
        <w:t xml:space="preserve">Aus den Berichten des Jahres werden zwei oder drei Befunde gezogen und bis zu den Notizen zurückverfolgt (Arbeitsblatt E1).</w:t>
      </w:r>
    </w:p>
    <w:p>
      <w:pPr>
        <w:pStyle w:val="ListParagraph"/>
        <w:numPr>
          <w:ilvl w:val="0"/>
          <w:numId w:val="3"/>
        </w:numPr>
        <w:spacing w:after="70" w:line="290"/>
        <w:jc w:val="left"/>
      </w:pPr>
      <w:r>
        <w:rPr>
          <w:rFonts w:ascii="Aptos" w:cs="Aptos" w:eastAsia="Aptos" w:hAnsi="Aptos"/>
          <w:color w:val="1A1A1A"/>
          <w:sz w:val="21"/>
          <w:szCs w:val="21"/>
        </w:rPr>
        <w:t xml:space="preserve">Abweichungen zwischen Selbst- und Fremdbewertung von mehr als einer Stufe werden besprochen und begründet.</w:t>
      </w:r>
    </w:p>
    <w:p>
      <w:pPr>
        <w:pStyle w:val="ListParagraph"/>
        <w:numPr>
          <w:ilvl w:val="0"/>
          <w:numId w:val="3"/>
        </w:numPr>
        <w:spacing w:after="70" w:line="290"/>
        <w:jc w:val="left"/>
      </w:pPr>
      <w:r>
        <w:rPr>
          <w:rFonts w:ascii="Aptos" w:cs="Aptos" w:eastAsia="Aptos" w:hAnsi="Aptos"/>
          <w:color w:val="1A1A1A"/>
          <w:sz w:val="21"/>
          <w:szCs w:val="21"/>
        </w:rPr>
        <w:t xml:space="preserve">Elemente mit Lücke zum Soll erhalten eine Priorität und eine Maßnahme im Entwicklungsplan (Teil F).</w:t>
      </w:r>
    </w:p>
    <w:p>
      <w:pPr>
        <w:keepNext/>
        <w:spacing w:after="90" w:before="200"/>
      </w:pPr>
      <w:r>
        <w:rPr>
          <w:rFonts w:ascii="Aptos" w:cs="Aptos" w:eastAsia="Aptos" w:hAnsi="Aptos"/>
          <w:b/>
          <w:bCs/>
          <w:color w:val="002060"/>
          <w:sz w:val="22"/>
          <w:szCs w:val="22"/>
        </w:rPr>
        <w:t xml:space="preserve">E1. Stichprobe: Befund bis zur Quelle (fehlt die Spur, fehlt die Kompetenz)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2410"/>
        <w:gridCol w:w="1349"/>
        <w:gridCol w:w="1542"/>
        <w:gridCol w:w="2409"/>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Befund (Bericht, Nr.)</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Quelle in den Notizen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Rückverfolgbar? (ja/nein)</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Klassifizierung proportional?</w:t>
            </w:r>
          </w:p>
        </w:tc>
        <w:tc>
          <w:tcPr>
            <w:tcW w:type="dxa" w:w="24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E2. Bewertung nach jedem 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1928"/>
        <w:gridCol w:w="3855"/>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Bewertung</w:t>
            </w:r>
          </w:p>
        </w:tc>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Hinweis für das nächste Audit</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Qualität und Struktur des Berichts</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Proportionalität der Klassifizierung</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Vollständigkeit der dokumentierten Evidenzen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Qualität der Kommunikation der Ergebnisse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Spezifität der Checklistenfragen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Verständlichkeit der Befunde für die Direktion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Beispiel (Kompositfall, anzupassen) </w:t>
            </w:r>
            <w:r>
              <w:rPr>
                <w:rFonts w:ascii="Aptos" w:cs="Aptos" w:eastAsia="Aptos" w:hAnsi="Aptos"/>
                <w:color w:val="1A1A1A"/>
                <w:sz w:val="21"/>
                <w:szCs w:val="21"/>
              </w:rPr>
              <w:t xml:space="preserve">Nach dem ersten autonomen Audit ist die Berichtsstruktur korrekt, die Evidenz nachvollziehbar, die Klassifizierung proportioniert. Zwei Hinweise für das Folgejahr: Einige Checklistenfragen waren zu generisch. Eine Nichtkonformität war für die Direktion zu technisch formuliert.</w:t>
            </w:r>
          </w:p>
        </w:tc>
      </w:tr>
    </w:tbl>
    <w:p>
      <w:pPr>
        <w:spacing w:after="120"/>
      </w:pPr>
    </w:p>
    <w:p>
      <w:pPr>
        <w:keepNext/>
        <w:spacing w:after="120" w:before="280"/>
      </w:pPr>
      <w:r>
        <w:rPr>
          <w:rFonts w:ascii="Aptos" w:cs="Aptos" w:eastAsia="Aptos" w:hAnsi="Aptos"/>
          <w:b/>
          <w:bCs/>
          <w:color w:val="8C5A2B"/>
          <w:sz w:val="26"/>
          <w:szCs w:val="26"/>
        </w:rPr>
        <w:t xml:space="preserve">F. Entwicklungsplan in Stufen</w:t>
      </w:r>
    </w:p>
    <w:p>
      <w:pPr>
        <w:spacing w:after="140" w:before="0" w:line="300"/>
        <w:jc w:val="both"/>
      </w:pPr>
      <w:r>
        <w:rPr>
          <w:rFonts w:ascii="Aptos" w:cs="Aptos" w:eastAsia="Aptos" w:hAnsi="Aptos"/>
          <w:color w:val="1A1A1A"/>
          <w:sz w:val="21"/>
          <w:szCs w:val="21"/>
        </w:rPr>
        <w:t xml:space="preserve">Die Stufen folgen Tabelle 2 des Buches. Eine Stufe gilt als abgeschlossen, wenn der Nachweis vorliegt und die begleitende Person die nächste Stufe freigibt.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79"/>
        <w:gridCol w:w="2900"/>
        <w:gridCol w:w="2559"/>
        <w:gridCol w:w="853"/>
        <w:gridCol w:w="853"/>
        <w:gridCol w:w="1194"/>
      </w:tblGrid>
      <w:tr>
        <w:trPr>
          <w:tblHeader/>
        </w:trPr>
        <w:tc>
          <w:tcPr>
            <w:tcW w:type="dxa" w:w="127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Stufe</w:t>
            </w:r>
          </w:p>
        </w:tc>
        <w:tc>
          <w:tcPr>
            <w:tcW w:type="dxa" w:w="290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Tätigkeit des Auditors</w:t>
            </w:r>
          </w:p>
        </w:tc>
        <w:tc>
          <w:tcPr>
            <w:tcW w:type="dxa" w:w="255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Begleitung und Kontrolle</w:t>
            </w:r>
          </w:p>
        </w:tc>
        <w:tc>
          <w:tcPr>
            <w:tcW w:type="dxa" w:w="8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Geplant</w:t>
            </w:r>
          </w:p>
        </w:tc>
        <w:tc>
          <w:tcPr>
            <w:tcW w:type="dxa" w:w="8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Erledigt</w:t>
            </w:r>
          </w:p>
        </w:tc>
        <w:tc>
          <w:tcPr>
            <w:tcW w:type="dxa" w:w="119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Freigabe (Name)</w:t>
            </w:r>
          </w:p>
        </w:tc>
      </w:tr>
      <w:tr>
        <w:trPr>
          <w:cantSplit/>
        </w:trPr>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Kurs</w:t>
            </w:r>
          </w:p>
        </w:tc>
        <w:tc>
          <w:tcPr>
            <w:tcW w:type="dxa" w:w="29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Kurs für Auditoren von Umweltmanagementsystemen mit Übungen und simuliertem Audit</w:t>
            </w:r>
          </w:p>
        </w:tc>
        <w:tc>
          <w:tcPr>
            <w:tcW w:type="dxa" w:w="25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Basis für Methodik und Normstruktur; allein nicht ausreichend</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Beobachtung</w:t>
            </w:r>
          </w:p>
        </w:tc>
        <w:tc>
          <w:tcPr>
            <w:tcW w:type="dxa" w:w="29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Begleitet den externen Auditor beim Überwachungsaudit; notiert Fragen, Evidenzen, Nichtkonformitäten, Begründungen</w:t>
            </w:r>
          </w:p>
        </w:tc>
        <w:tc>
          <w:tcPr>
            <w:tcW w:type="dxa" w:w="25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Anschauung am realen Audit</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Angeleitete Praxis</w:t>
            </w:r>
          </w:p>
        </w:tc>
        <w:tc>
          <w:tcPr>
            <w:tcW w:type="dxa" w:w="29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Teilaudit nur der Klauseln, die er am besten kennt</w:t>
            </w:r>
          </w:p>
        </w:tc>
        <w:tc>
          <w:tcPr>
            <w:tcW w:type="dxa" w:w="25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Beobachtung und Berichtsrevision durch die Programmverantwortliche</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Autonome Praxis</w:t>
            </w:r>
          </w:p>
        </w:tc>
        <w:tc>
          <w:tcPr>
            <w:tcW w:type="dxa" w:w="29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Erstes vollständiges autonomes Audit</w:t>
            </w:r>
          </w:p>
        </w:tc>
        <w:tc>
          <w:tcPr>
            <w:tcW w:type="dxa" w:w="25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Berichtsprüfung vor der Präsentation an die Direktion</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Kontinuierliche Bewertung</w:t>
            </w:r>
          </w:p>
        </w:tc>
        <w:tc>
          <w:tcPr>
            <w:tcW w:type="dxa" w:w="29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 jedem Audit: Bericht, Klassifizierung, Evidenzen, Kommunikation</w:t>
            </w:r>
          </w:p>
        </w:tc>
        <w:tc>
          <w:tcPr>
            <w:tcW w:type="dxa" w:w="25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Programmverantwortlicher; teilweise Direktion oder externer Begleiter</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Jährliche Aktualisierung</w:t>
            </w:r>
          </w:p>
        </w:tc>
        <w:tc>
          <w:tcPr>
            <w:tcW w:type="dxa" w:w="29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Anpassung an Norm- und Rechtsänderungen, etwa an die Ausgabe 2026</w:t>
            </w:r>
          </w:p>
        </w:tc>
        <w:tc>
          <w:tcPr>
            <w:tcW w:type="dxa" w:w="25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Schulungsnachweis, datiertes Profil</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F1. Maßnahmen zu den Entwicklungsbereichen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77"/>
        <w:gridCol w:w="2856"/>
        <w:gridCol w:w="1606"/>
        <w:gridCol w:w="1160"/>
        <w:gridCol w:w="1339"/>
      </w:tblGrid>
      <w:tr>
        <w:trPr>
          <w:tblHeader/>
        </w:trPr>
        <w:tc>
          <w:tcPr>
            <w:tcW w:type="dxa" w:w="26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Entwicklungsbereich</w:t>
            </w:r>
          </w:p>
        </w:tc>
        <w:tc>
          <w:tcPr>
            <w:tcW w:type="dxa" w:w="28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11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Termin</w:t>
            </w:r>
          </w:p>
        </w:tc>
        <w:tc>
          <w:tcPr>
            <w:tcW w:type="dxa" w:w="13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Wirksam geprüft am</w:t>
            </w:r>
          </w:p>
        </w:tc>
      </w:tr>
      <w:tr>
        <w:trPr>
          <w:cantSplit/>
        </w:trPr>
        <w:tc>
          <w:tcPr>
            <w:tcW w:type="dxa" w:w="26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i/>
                <w:iCs/>
                <w:color w:val="1A1A1A"/>
                <w:sz w:val="16"/>
                <w:szCs w:val="16"/>
              </w:rPr>
              <w:t xml:space="preserve">Beispiel (Kompositfall, anzupassen):</w:t>
            </w:r>
            <w:r>
              <w:rPr>
                <w:rFonts w:ascii="Aptos" w:cs="Aptos" w:eastAsia="Aptos" w:hAnsi="Aptos"/>
                <w:b/>
                <w:bCs/>
                <w:color w:val="1A1A1A"/>
                <w:sz w:val="16"/>
                <w:szCs w:val="16"/>
              </w:rPr>
              <w:t xml:space="preserve"> ESG-Rahmen nach dem Omnibus-Paket und Erwartungen der Corporate-Kunden</w:t>
            </w:r>
          </w:p>
        </w:tc>
        <w:tc>
          <w:tcPr>
            <w:tcW w:type="dxa" w:w="28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Vertiefungsmaterial und zweistündiges Briefing vor dem ersten Audit</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Nachhaltigkeitsbeauftragte</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 dem ersten Audit</w:t>
            </w:r>
          </w:p>
        </w:tc>
        <w:tc>
          <w:tcPr>
            <w:tcW w:type="dxa" w:w="13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i/>
                <w:iCs/>
                <w:color w:val="1A1A1A"/>
                <w:sz w:val="16"/>
                <w:szCs w:val="16"/>
              </w:rPr>
              <w:t xml:space="preserve">Beispiel (Kompositfall, anzupassen):</w:t>
            </w:r>
            <w:r>
              <w:rPr>
                <w:rFonts w:ascii="Aptos" w:cs="Aptos" w:eastAsia="Aptos" w:hAnsi="Aptos"/>
                <w:b/>
                <w:bCs/>
                <w:color w:val="1A1A1A"/>
                <w:sz w:val="16"/>
                <w:szCs w:val="16"/>
              </w:rPr>
              <w:t xml:space="preserve"> Neigung, Nichtkonformitäten zu minimieren, um Beziehungen zu schonen</w:t>
            </w:r>
          </w:p>
        </w:tc>
        <w:tc>
          <w:tcPr>
            <w:tcW w:type="dxa" w:w="28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Ausdrückliche Erörterung vor dem ersten Teilaudit; Klassifizierung des ersten Audits wird überprüft</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Nachhaltigkeitsbeauftragte</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 dem ersten Teilaudit</w:t>
            </w:r>
          </w:p>
        </w:tc>
        <w:tc>
          <w:tcPr>
            <w:tcW w:type="dxa" w:w="13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8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6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8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G. Nachweise und jährliche Aktualisierung</w:t>
      </w:r>
    </w:p>
    <w:p>
      <w:pPr>
        <w:keepNext/>
        <w:spacing w:after="90" w:before="200"/>
      </w:pPr>
      <w:r>
        <w:rPr>
          <w:rFonts w:ascii="Aptos" w:cs="Aptos" w:eastAsia="Aptos" w:hAnsi="Aptos"/>
          <w:b/>
          <w:bCs/>
          <w:color w:val="002060"/>
          <w:sz w:val="22"/>
          <w:szCs w:val="22"/>
        </w:rPr>
        <w:t xml:space="preserve">G1. Kompetenzakte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1928"/>
        <w:gridCol w:w="2891"/>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Vorhanden (Datum)</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Ablageort</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Kursnachweis</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Liste der durchgeführten Audits mit Rolle (Beobachter, angeleitet, autonom)</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Beobachtungsnotiz des stillen Zeugen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Stichprobe Befund bis Quelle (E1)</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Feedbackgespräche nach jedem Audit (E2)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Schulungsnachweis zur Ausgabe 2026</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Datiertes und aktualisiertes Kompetenzprofil (dieses Dokument)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G2. Prüfpunkte für die jährliche Aktualisierung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69"/>
        <w:gridCol w:w="1134"/>
        <w:gridCol w:w="2835"/>
      </w:tblGrid>
      <w:tr>
        <w:trPr>
          <w:tblHeader/>
        </w:trPr>
        <w:tc>
          <w:tcPr>
            <w:tcW w:type="dxa" w:w="566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Prüfpunkt</w:t>
            </w:r>
          </w:p>
        </w:tc>
        <w:tc>
          <w:tcPr>
            <w:tcW w:type="dxa" w:w="11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 / Nein</w:t>
            </w:r>
          </w:p>
        </w:tc>
        <w:tc>
          <w:tcPr>
            <w:tcW w:type="dxa" w:w="28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56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Verweist das Profil auf die Ausgabe 2026 und nicht mehr auf 2015?</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6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6.1.4, 6.3 und die geänderte Struktur von Abschnitt 10 im Profil enthalten?</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6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Rechtsänderungen des Jahres eingearbeitet? Konkrete Vorschriften an der geltenden Fassung prüfen.</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6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die Aktualisierung Teil der Übergangsplanung? Zertifikate nach ISO 14001:2015 verlieren am 30. April 2029 ihre Gültigkeit.</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6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Hat der Auditor seit dem letzten Audit geübt? Kommt ein Auditor von außerhalb der Hotellerie: Hat er eine Einführung in die Umweltaspekte des Hauses erhalten?</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6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die zweite Person benannt und war sie bei mindestens einem Audit dabei?</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8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b/>
          <w:bCs/>
          <w:color w:val="1A1A1A"/>
          <w:sz w:val="21"/>
          <w:szCs w:val="21"/>
        </w:rPr>
        <w:t xml:space="preserve">Die Direktion überwacht</w:t>
      </w:r>
      <w:r>
        <w:rPr>
          <w:rFonts w:ascii="Aptos" w:cs="Aptos" w:eastAsia="Aptos" w:hAnsi="Aptos"/>
          <w:color w:val="1A1A1A"/>
          <w:sz w:val="21"/>
          <w:szCs w:val="21"/>
        </w:rPr>
        <w:t xml:space="preserve"> die Qualität der Berichte im Zeitverlauf und die Verständlichkeit der Ergebnisse. Dazu kommt der Anteil intern gefundener Nichtkonformitäten im Verhältnis zu den extern festgestellten. Er ist ein indirekter Indikator für die Qualität des internen Audits.</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weder die ISO 14001:2026 noch die ISO 19011:2026; maßgeblich bleibt der vollständige Normtext. Es ist keine Rechtsberatung und keine Empfehlung für einen bestimmten Kurs oder Anbieter. Profil, Skala und Stufen sind an das eigene Haus und an das eigene Auditprogramm anzupassen. Rechtsstand: 11. Oktober 2026.</w:t>
      </w:r>
    </w:p>
    <w:p>
      <w:pPr>
        <w:spacing w:after="140" w:before="0" w:line="300"/>
        <w:jc w:val="both"/>
      </w:pPr>
      <w:r>
        <w:rPr>
          <w:rFonts w:ascii="Aptos" w:cs="Aptos" w:eastAsia="Aptos" w:hAnsi="Aptos"/>
          <w:i/>
          <w:iCs/>
          <w:color w:val="1A1A1A"/>
          <w:sz w:val="21"/>
          <w:szCs w:val="21"/>
        </w:rPr>
        <w:t xml:space="preserve">Bezug im Buch: Band 1b, Abschnitt 3.2</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2026-10-11T23:17:15.936Z</dcterms:created>
  <dcterms:modified xsi:type="dcterms:W3CDTF">2026-10-11T23:17:15.936Z</dcterms:modified>
</cp:coreProperties>
</file>

<file path=docProps/custom.xml><?xml version="1.0" encoding="utf-8"?>
<Properties xmlns="http://schemas.openxmlformats.org/officeDocument/2006/custom-properties" xmlns:vt="http://schemas.openxmlformats.org/officeDocument/2006/docPropsVTypes"/>
</file>