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4.3</w:t>
      </w:r>
    </w:p>
    <w:p>
      <w:pPr>
        <w:pStyle w:val="Heading1"/>
        <w:spacing w:after="120" w:line="360"/>
      </w:pPr>
      <w:r>
        <w:rPr>
          <w:rFonts w:ascii="Aptos" w:cs="Aptos" w:eastAsia="Aptos" w:hAnsi="Aptos"/>
          <w:b/>
          <w:bCs/>
          <w:color w:val="002060"/>
          <w:sz w:val="36"/>
          <w:szCs w:val="36"/>
        </w:rPr>
        <w:t xml:space="preserve">Gap-Analyse Transition 2015 → 2026</w:t>
      </w:r>
    </w:p>
    <w:p>
      <w:pPr>
        <w:spacing w:after="200"/>
      </w:pPr>
      <w:r>
        <w:rPr>
          <w:rFonts w:ascii="Aptos" w:cs="Aptos" w:eastAsia="Aptos" w:hAnsi="Aptos"/>
          <w:i/>
          <w:iCs/>
          <w:color w:val="5A5A5A"/>
          <w:sz w:val="22"/>
          <w:szCs w:val="22"/>
        </w:rPr>
        <w:t xml:space="preserve">Arbeitsblatt Klausel für Klausel: bereits konform, zu aktualisieren, hinzuzufügen</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Arbeitsblatt folgt den Änderungen der Ausgabe 2026, wie das Buch sie beschreibt. Es gibt den Normtext nicht wieder; maßgeblich ist der Abgleich mit der eigenen Normausgabe. Daten und Fristen stehen hier nur so, wie das Buch sie nennt.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Kopf der Gap-Analyse</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 Standort</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Geprüfte Normausgabe (Ausgabe, Datum der Beschaffung)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 der Gap-Analyse, Datum</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von, geprüft von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Zertifizierungsstelle, Mitteilung zur Transition vom</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Die Gap-Analyse ist eine Aufzeichnung mit Datum, Version und Verantwortlichen. Sie erstellt das Haus selbst oder mit einem Berater. Die Zertifizierungsstelle darf sie nicht erstellen, sonst würde sie ihr eigenes Werk prüfen.</w:t>
      </w:r>
    </w:p>
    <w:p>
      <w:pPr>
        <w:keepNext/>
        <w:spacing w:after="120" w:before="280"/>
      </w:pPr>
      <w:r>
        <w:rPr>
          <w:rFonts w:ascii="Aptos" w:cs="Aptos" w:eastAsia="Aptos" w:hAnsi="Aptos"/>
          <w:b/>
          <w:bCs/>
          <w:color w:val="8C5A2B"/>
          <w:sz w:val="26"/>
          <w:szCs w:val="26"/>
        </w:rPr>
        <w:t xml:space="preserve">A. Rahmen und Daten der Transition</w:t>
      </w:r>
    </w:p>
    <w:p>
      <w:pPr>
        <w:spacing w:after="140" w:before="0" w:line="300"/>
        <w:jc w:val="both"/>
      </w:pPr>
      <w:r>
        <w:rPr>
          <w:rFonts w:ascii="Aptos" w:cs="Aptos" w:eastAsia="Aptos" w:hAnsi="Aptos"/>
          <w:color w:val="1A1A1A"/>
          <w:sz w:val="21"/>
          <w:szCs w:val="21"/>
        </w:rPr>
        <w:t xml:space="preserve">Den Rahmen legen nicht ISO, sondern die Akkreditierungsstellen fest. DAkkS, Akkreditierung Austria und SAS überwachen die Umsetzung durch die akkreditierten Stellen.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4626"/>
        <w:gridCol w:w="3374"/>
      </w:tblGrid>
      <w:tr>
        <w:trPr>
          <w:tblHeader/>
        </w:trPr>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gilt (so im Buch)</w:t>
            </w:r>
          </w:p>
        </w:tc>
        <w:tc>
          <w:tcPr>
            <w:tcW w:type="dxa" w:w="33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Prüfauftrag für das Haus</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Januar 2026</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ACI führt die Aufgaben von IAF und ILAC fort.</w:t>
            </w:r>
          </w:p>
        </w:tc>
        <w:tc>
          <w:tcPr>
            <w:tcW w:type="dxa" w:w="33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Keiner</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15. April 2026</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Die ISO 14001:2026 ist erschienen.</w:t>
            </w:r>
          </w:p>
        </w:tc>
        <w:tc>
          <w:tcPr>
            <w:tcW w:type="dxa" w:w="33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Eigene Normausgabe beschaffen und Datum oben eintragen.</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September 2026</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Global ACI veröffentlicht die Übergangsanforderungen für ISO 14001:2026.</w:t>
            </w:r>
          </w:p>
        </w:tc>
        <w:tc>
          <w:tcPr>
            <w:tcW w:type="dxa" w:w="33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Mitteilung der eigenen Stelle anfordern und ablegen.</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31. Oktober 2027</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 diesem Tag dürfen neue und erstmalige akkreditierte Zertifizierungen nur noch nach ISO 14001:2026 ausgestellt werden.</w:t>
            </w:r>
          </w:p>
        </w:tc>
        <w:tc>
          <w:tcPr>
            <w:tcW w:type="dxa" w:w="33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Betrifft Häuser, die noch erstmals zertifiziert werden.</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30. April 2029</w:t>
            </w:r>
          </w:p>
        </w:tc>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Zertifikate nach der Ausgabe 2015 verlieren ihre Gültigkeit.</w:t>
            </w:r>
          </w:p>
        </w:tc>
        <w:tc>
          <w:tcPr>
            <w:tcW w:type="dxa" w:w="33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Rückwärtsrechnung in Teil B.</w:t>
            </w:r>
          </w:p>
        </w:tc>
      </w:tr>
    </w:tbl>
    <w:p>
      <w:pPr>
        <w:spacing w:after="140"/>
      </w:pPr>
    </w:p>
    <w:p>
      <w:pPr>
        <w:spacing w:after="140" w:before="0" w:line="300"/>
        <w:jc w:val="both"/>
      </w:pPr>
      <w:r>
        <w:rPr>
          <w:rFonts w:ascii="Aptos" w:cs="Aptos" w:eastAsia="Aptos" w:hAnsi="Aptos"/>
          <w:color w:val="1A1A1A"/>
          <w:sz w:val="21"/>
          <w:szCs w:val="21"/>
        </w:rPr>
        <w:t xml:space="preserve">Für das einzelne Zertifikat gelten zusätzlich die Vorgaben der zuständigen Stelle. Diese Vorgaben an der Mitteilung der eigenen Stelle prüfen.</w:t>
      </w:r>
    </w:p>
    <w:p>
      <w:pPr>
        <w:keepNext/>
        <w:spacing w:after="120" w:before="280"/>
      </w:pPr>
      <w:r>
        <w:rPr>
          <w:rFonts w:ascii="Aptos" w:cs="Aptos" w:eastAsia="Aptos" w:hAnsi="Aptos"/>
          <w:b/>
          <w:bCs/>
          <w:color w:val="8C5A2B"/>
          <w:sz w:val="26"/>
          <w:szCs w:val="26"/>
        </w:rPr>
        <w:t xml:space="preserve">B. Rückwärtsrechnung zum spätesten Audittermin</w:t>
      </w:r>
    </w:p>
    <w:p>
      <w:pPr>
        <w:spacing w:after="140" w:before="0" w:line="300"/>
        <w:jc w:val="both"/>
      </w:pPr>
      <w:r>
        <w:rPr>
          <w:rFonts w:ascii="Aptos" w:cs="Aptos" w:eastAsia="Aptos" w:hAnsi="Aptos"/>
          <w:color w:val="1A1A1A"/>
          <w:sz w:val="21"/>
          <w:szCs w:val="21"/>
        </w:rPr>
        <w:t xml:space="preserve">Das Haus plant vom 30. April 2029 aus zurück, nicht vom heutigen Tag nach vorn. Entscheidend ist nicht das Datum, sondern das letzte planmäßige Audit davor.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1"/>
        <w:gridCol w:w="2506"/>
        <w:gridCol w:w="2891"/>
      </w:tblGrid>
      <w:tr>
        <w:trPr>
          <w:tblHeader/>
        </w:trPr>
        <w:tc>
          <w:tcPr>
            <w:tcW w:type="dxa" w:w="42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Schritt</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Quelle, bestätigt durch</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Fristende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30. April 2029</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Übergangsanforderungen laut Buch</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minus Zeit für die Zertifizierungsentscheidung</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Bei der Stelle erfragen</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minus Zeit für Korrekturmaßnahmen nach möglichen Befunden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minus Abstand zwischen Audit und Nachweis</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spätester Audittermin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Letztes planmäßiges Audit vor diesem Termin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Reserve: ein weiteres planmäßiges Audit dahinter (gute Praxis)</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3"/>
        <w:gridCol w:w="1446"/>
        <w:gridCol w:w="2409"/>
      </w:tblGrid>
      <w:tr>
        <w:trPr>
          <w:tblHeader/>
        </w:trPr>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Weg der Transition</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Gewählt</w:t>
            </w:r>
          </w:p>
        </w:tc>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Termin</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 einer planmäßigen Überwachung verbinden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 der Rezertifizierung verbinden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Eigenes Transitionsaudit beantragen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color w:val="1A1A1A"/>
          <w:sz w:val="21"/>
          <w:szCs w:val="21"/>
        </w:rPr>
        <w:t xml:space="preserve">Die Verbindung mit einem ohnehin geplanten Audit ist in der Regel kosteneffizienter. Gegen Ende einer Übergangsfrist werden Termine von Auditoren mit Hotelerfahrung knapp. Das ist eine erwartbare Folge, kein belegter Marktwert.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Lehre aus dem Buch </w:t>
            </w:r>
            <w:r>
              <w:rPr>
                <w:rFonts w:ascii="Aptos" w:cs="Aptos" w:eastAsia="Aptos" w:hAnsi="Aptos"/>
                <w:color w:val="1A1A1A"/>
                <w:sz w:val="21"/>
                <w:szCs w:val="21"/>
              </w:rPr>
              <w:t xml:space="preserve">Wer die Transition erst mit dem letzten Audit vor der Frist verbindet, hat bei einer schweren Nichtkonformität kaum Zeit für Korrekturmaßnahmen und Nachweis. Wer früh plant, wählt den Termin.</w:t>
            </w:r>
          </w:p>
        </w:tc>
      </w:tr>
    </w:tbl>
    <w:p>
      <w:pPr>
        <w:spacing w:after="120"/>
      </w:pPr>
    </w:p>
    <w:p>
      <w:pPr>
        <w:keepNext/>
        <w:spacing w:after="120" w:before="280"/>
      </w:pPr>
      <w:r>
        <w:rPr>
          <w:rFonts w:ascii="Aptos" w:cs="Aptos" w:eastAsia="Aptos" w:hAnsi="Aptos"/>
          <w:b/>
          <w:bCs/>
          <w:color w:val="8C5A2B"/>
          <w:sz w:val="26"/>
          <w:szCs w:val="26"/>
        </w:rPr>
        <w:t xml:space="preserve">C. Die Änderungen der Revision 2026</w:t>
      </w:r>
    </w:p>
    <w:p>
      <w:pPr>
        <w:spacing w:after="140" w:before="0" w:line="300"/>
        <w:jc w:val="both"/>
      </w:pPr>
      <w:r>
        <w:rPr>
          <w:rFonts w:ascii="Aptos" w:cs="Aptos" w:eastAsia="Aptos" w:hAnsi="Aptos"/>
          <w:color w:val="1A1A1A"/>
          <w:sz w:val="21"/>
          <w:szCs w:val="21"/>
        </w:rPr>
        <w:t xml:space="preserve">Laut ISO-Vorwort liegen die Hauptänderungen in der Übernahme aktueller ISO-Vorgaben für Managementsystemnormen und in der Klarstellung wichtiger Themen. Für die Gap-Analyse sind diese Punkte maßgeblich.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46"/>
        <w:gridCol w:w="3181"/>
        <w:gridCol w:w="3277"/>
        <w:gridCol w:w="1734"/>
      </w:tblGrid>
      <w:tr>
        <w:trPr>
          <w:tblHeader/>
        </w:trPr>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Was die Ausgabe 2026 ändert (laut Buch)</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Prüfauftrag</w:t>
            </w:r>
          </w:p>
        </w:tc>
        <w:tc>
          <w:tcPr>
            <w:tcW w:type="dxa" w:w="17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Vorhandener Nachweis</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4.1 Kontext</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Umweltbedingungen ausdrücklich genannt: Verschmutzungsniveau, natürliche Ressourcen, Klimawandel, Biodiversität, Zustand der Ökosysteme. Klimawandel bereits seit Amd 1:2024 verlangt.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Erfasst die Kontextanalyse die relevanten Bedingungen? Regionalisierte Klimaszenarien (DWD, GeoSphere Austria, MeteoSchweiz) sind eine Methode, keine Normvorgabe.</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6.1.4 Risiken und Chancen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Eigene Klausel für die Bestimmung der zu behandelnden Risiken und Chancen; sie sind zu dokumentieren.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Zeigt das Risikoregister den Zusammenhang mit Umweltbedingungen, Umweltaspekten und bindenden Verpflichtungen nachvollziehbar?</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6.1.5 Planung von Maßnahmen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Die bisherige 6.1.4 wird zu 6.1.5; Maßnahmen einschließlich der Bewertung ihrer Wirksamkeit.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Neue Nummer und Verweise übernehmen; Wirksamkeitsbewertung planen; nach 6.2.1 Risiken und Chancen bei den Umweltzielen sichtbar berücksichtigen.</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6.3 Planung von Änderungen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Neue Klausel: Änderungen, die das System betreffen können, geplant durchführen und so steuern, dass die beabsichtigten Ergebnisse erreichbar bleiben.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Für viele Häuser die größte echte Lücke: Prozess mit Auslösern, Bewertung, Freigabe und Wirksamkeitsprüfung.</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 Verbesserung</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noch 10.1 kontinuierliche Verbesserung und 10.2 Nichtkonformität und Korrekturmaßnahmen; inhaltlich ändert sich wenig.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Verweise in Verfahren und Formularen anpassen; Verweise auf die frühere 10.3 ersetzen.</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4.3, 6.1.2, 8.1</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Präzisierung der Lebenswegperspektive und der Behandlung extern bereitgestellter Prozesse, Produkte und Dienstleistungen.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Umfang nach tatsächlichen Umweltaspekten und Einflussmöglichkeiten. Keine allgemeine Pflicht zu Lieferantenprogrammen oder Scope-3-Bilanz.</w:t>
            </w:r>
          </w:p>
        </w:tc>
        <w:tc>
          <w:tcPr>
            <w:tcW w:type="dxa" w:w="17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Klassifikation Klausel für Klausel</w:t>
      </w:r>
    </w:p>
    <w:p>
      <w:pPr>
        <w:spacing w:after="140" w:before="0" w:line="300"/>
        <w:jc w:val="both"/>
      </w:pPr>
      <w:r>
        <w:rPr>
          <w:rFonts w:ascii="Aptos" w:cs="Aptos" w:eastAsia="Aptos" w:hAnsi="Aptos"/>
          <w:color w:val="1A1A1A"/>
          <w:sz w:val="21"/>
          <w:szCs w:val="21"/>
        </w:rPr>
        <w:t xml:space="preserve">Jede Klausel erhält eine von drei Kategorien. Die Spalte «typisch» gibt das Ergebnis wieder, das das Buch für ein gepflegtes Hotelsystem nennt. Im Einzelfall entscheidet der Abgleich mit dem Normtext.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2120"/>
        <w:gridCol w:w="6554"/>
      </w:tblGrid>
      <w:tr>
        <w:trPr>
          <w:tblHeader/>
        </w:trPr>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Kürzel</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w:t>
            </w:r>
          </w:p>
        </w:tc>
        <w:tc>
          <w:tcPr>
            <w:tcW w:type="dxa" w:w="65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Bedeutung</w:t>
            </w:r>
          </w:p>
        </w:tc>
      </w:tr>
      <w:tr>
        <w:trPr>
          <w:cantSplit/>
        </w:trPr>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Bereits konform</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Das System erfüllt die Anforderung der Ausgabe 2026 vollständig; kein Eingriff, aber dokumentierter Abgleich.</w:t>
            </w:r>
          </w:p>
        </w:tc>
      </w:tr>
      <w:tr>
        <w:trPr>
          <w:cantSplit/>
        </w:trPr>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Zu aktualisieren</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Teilweise erfüllt; Ergänzung oder Präzisierung notwendig.</w:t>
            </w:r>
          </w:p>
        </w:tc>
      </w:tr>
      <w:tr>
        <w:trPr>
          <w:cantSplit/>
        </w:trPr>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Hinzuzufügen</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Neu oder substanziell verschieden; struktureller Eingriff notwendig.</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349"/>
        <w:gridCol w:w="4433"/>
        <w:gridCol w:w="1543"/>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Typisch (laut Buch)</w:t>
            </w:r>
          </w:p>
        </w:tc>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Prüfauftrag</w:t>
            </w:r>
          </w:p>
        </w:tc>
        <w:tc>
          <w:tcPr>
            <w:tcW w:type="dxa" w:w="15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Kategorie K / A / H</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4.1 Kontext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Erfasst die Kontextanalyse die Umweltbedingungen, die 4.1 nun nennt? Klima sollte seit Amd 1:2024 enthalten sein.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4.2, 4.3 Interessierte Parteien, Anwendungsbereich</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 4.3 prüfen, ob die Fähigkeit zur Steuerung und Einflussnahme über den Lebensweg berücksichtigt ist.</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Führung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Abgleich mit dem Normtext, Begriffe und Verweise anpassen.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6.1.1 bis 6.1.3</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Prozessbeschreibung muss 6.1.4 und 6.1.5 einbeziehen; in 6.1.2 Lebenswegperspektive prüfen.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6.1.4 Risiken und Chancen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Hinzuzufügen, wo die Bestimmung bisher nicht eigenständig dokumentiert war.</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6.1.5 Planung von Maßnahmen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Neue Nummer, Verweise, geplante Bewertung der Wirksamkeit.</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6.2 Umweltziele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 falls nötig</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Ist die Berücksichtigung von Risiken und Chancen nach 6.2.1 sichtbar?</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6.3 Planung von Änderungen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Prozess mit Auslösern, Bewertung, Freigabe und Wirksamkeitsprüfung.</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 Unterstützung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Dokumentierte Information an die neue Nummerierung anpassen.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8.1, 8.2 Betrieb</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8.1 A</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8.1: extern bereitgestellte Prozesse, etwa Wäscherei, Entsorgung. 8.2: Notfallvorsorge mit den Umweltbedingungen aus 4.1 abgleichen.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9.1, 9.2 Überwachung, internes Audit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meist K</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Auditprogramm um 6.1.4 und 6.3 erweitern.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9.3 Managementbewertung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 redaktionell</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Gliederung in 9.3.1 bis 9.3.3; Eingaben und Ergebnisse inhaltlich unverändert.</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 Verbesserung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 redaktionell</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noch 10.1 und 10.2; Verweise auf die frühere 10.3 ersetzen.</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Eingriffe und Status</w:t>
      </w:r>
    </w:p>
    <w:p>
      <w:pPr>
        <w:spacing w:after="140" w:before="0" w:line="300"/>
        <w:jc w:val="both"/>
      </w:pPr>
      <w:r>
        <w:rPr>
          <w:rFonts w:ascii="Aptos" w:cs="Aptos" w:eastAsia="Aptos" w:hAnsi="Aptos"/>
          <w:color w:val="1A1A1A"/>
          <w:sz w:val="21"/>
          <w:szCs w:val="21"/>
        </w:rPr>
        <w:t xml:space="preserve">Jede Zeile braucht vier Einträge: Kategorie, vorhandener Nachweis, notwendiger Eingriff, Verantwortliche mit Frist. Für eine positive Transitionsentscheidung müssen alle anwendbaren Anforderungen der Ausgabe 2026 erfüllt sein. Auch redaktionelle Anpassungen dürfen nicht auf die Zeit nach der Entscheidung verschoben werden.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60"/>
        <w:gridCol w:w="1928"/>
        <w:gridCol w:w="2217"/>
        <w:gridCol w:w="1542"/>
        <w:gridCol w:w="1542"/>
        <w:gridCol w:w="1349"/>
      </w:tblGrid>
      <w:tr>
        <w:trPr>
          <w:tblHeader/>
        </w:trPr>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Vorhandener Nachweis</w:t>
            </w:r>
          </w:p>
        </w:tc>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Notwendiger Eingriff</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 Frist</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 offen / in Arbeit / umgesetzt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Wirksamkeit geprüft am</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6.1.4</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6.1.5</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6.3</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8.1, 8.2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9.3</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Eigene Vorhaben, getrennt geführt</w:t>
      </w:r>
    </w:p>
    <w:p>
      <w:pPr>
        <w:spacing w:after="140" w:before="0" w:line="300"/>
        <w:jc w:val="both"/>
      </w:pPr>
      <w:r>
        <w:rPr>
          <w:rFonts w:ascii="Aptos" w:cs="Aptos" w:eastAsia="Aptos" w:hAnsi="Aptos"/>
          <w:color w:val="1A1A1A"/>
          <w:sz w:val="21"/>
          <w:szCs w:val="21"/>
        </w:rPr>
        <w:t xml:space="preserve">Was das Haus über die Norm hinaus verbessern will, steht in einer eigenen Liste. Beispiele aus dem Buch sind eine Scope-3-Erfassung, ein Lieferantenprogramm oder ein Kontingenzplan für Hitzeperioden. Der Transitionsauditor prüft die Norm, nicht die Vorhaben.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506"/>
        <w:gridCol w:w="1928"/>
        <w:gridCol w:w="1349"/>
        <w:gridCol w:w="1349"/>
      </w:tblGrid>
      <w:tr>
        <w:trPr>
          <w:tblHeader/>
        </w:trPr>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Vorhaben</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Begründung im Haus</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Keine Transitionsanforderung (geprüft von)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Zieltermin</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Warum getrennt </w:t>
            </w:r>
            <w:r>
              <w:rPr>
                <w:rFonts w:ascii="Aptos" w:cs="Aptos" w:eastAsia="Aptos" w:hAnsi="Aptos"/>
                <w:color w:val="1A1A1A"/>
                <w:sz w:val="21"/>
                <w:szCs w:val="21"/>
              </w:rPr>
              <w:t xml:space="preserve">Wer eigene Vorhaben als «Anforderung der Ausgabe 2026» führt, lädt den Auditor ein, sie wie Pflichten zu prüfen. Jede Verzögerung erscheint dann als Lücke.</w:t>
            </w:r>
          </w:p>
        </w:tc>
      </w:tr>
    </w:tbl>
    <w:p>
      <w:pPr>
        <w:spacing w:after="120"/>
      </w:pPr>
    </w:p>
    <w:p>
      <w:pPr>
        <w:keepNext/>
        <w:spacing w:after="120" w:before="280"/>
      </w:pPr>
      <w:r>
        <w:rPr>
          <w:rFonts w:ascii="Aptos" w:cs="Aptos" w:eastAsia="Aptos" w:hAnsi="Aptos"/>
          <w:b/>
          <w:bCs/>
          <w:color w:val="8C5A2B"/>
          <w:sz w:val="26"/>
          <w:szCs w:val="26"/>
        </w:rPr>
        <w:t xml:space="preserve">G. Selbstprüfung: Trägt der Weg?</w:t>
      </w:r>
    </w:p>
    <w:p>
      <w:pPr>
        <w:spacing w:after="140" w:before="0" w:line="300"/>
        <w:jc w:val="both"/>
      </w:pPr>
      <w:r>
        <w:rPr>
          <w:rFonts w:ascii="Aptos" w:cs="Aptos" w:eastAsia="Aptos" w:hAnsi="Aptos"/>
          <w:color w:val="1A1A1A"/>
          <w:sz w:val="21"/>
          <w:szCs w:val="21"/>
        </w:rPr>
        <w:t xml:space="preserve">Der Auditor will einen Weg sehen, nicht nur einen Endzustand. Er wählt die neuen Klauseln 6.1.4 und 6.3 fast immer, dazu Bereiche mit Veränderungen seit dem letzten Audit.</w:t>
      </w:r>
    </w:p>
    <w:p>
      <w:pPr>
        <w:keepNext/>
        <w:spacing w:after="90" w:before="200"/>
      </w:pPr>
      <w:r>
        <w:rPr>
          <w:rFonts w:ascii="Aptos" w:cs="Aptos" w:eastAsia="Aptos" w:hAnsi="Aptos"/>
          <w:b/>
          <w:bCs/>
          <w:color w:val="002060"/>
          <w:sz w:val="22"/>
          <w:szCs w:val="22"/>
        </w:rPr>
        <w:t xml:space="preserve">Audit Trail eines Risikos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349"/>
        <w:gridCol w:w="3855"/>
        <w:gridCol w:w="1543"/>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Glied</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Klausel</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Fundstelle im Haus</w:t>
            </w:r>
          </w:p>
        </w:tc>
        <w:tc>
          <w:tcPr>
            <w:tcW w:type="dxa" w:w="15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Faden geschlossen?</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Dokumentiertes Risiko</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6.1.4</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Geplante Maßnahme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6.1.5</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Umweltziel</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6.2</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Messung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9.1</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Eine reale Änderung seit der Umstellung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831"/>
        <w:gridCol w:w="1831"/>
        <w:gridCol w:w="1831"/>
        <w:gridCol w:w="1832"/>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Änderung</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Anstoß (wann, wer)</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Bewertung</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Freigabe</w:t>
            </w:r>
          </w:p>
        </w:tc>
        <w:tc>
          <w:tcPr>
            <w:tcW w:type="dxa" w:w="183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Wirksamkeitsprüfung</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Fragen des Transitionsauditors in den Bereichen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3277"/>
        <w:gridCol w:w="3662"/>
        <w:gridCol w:w="1157"/>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Frage (laut Buch)</w:t>
            </w:r>
          </w:p>
        </w:tc>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Erwarteter Nachweis</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Vorhanden?</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Direktion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Wer entscheidet über Änderungen nach 6.3, und wie wird das dokumentiert?</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Änderungsregister, Freigaben, Protokoll der Managementbewertung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Technik</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Wurde der letzte Anlagentausch als Änderung geplant?</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Änderungsantrag mit Umweltbewertung, Prüfnachweis nach Inbetriebnahme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Küche und F&amp;B</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Welche Risiken und Chancen sind für den Bereich bestimmt?</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Eintrag nach 6.1.4 mit Maßnahme nach 6.1.5, etwa zu Speiseabfällen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Einkauf</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Wie werden extern bereitgestellte Prozesse gesteuert?</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Vertragsklauseln, Lieferantenbewertung für Wäscherei und Entsorgung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Spa und Housekeeping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Sind Umweltbedingungen wie Wasserknappheit in Hitzeperioden berücksichtigt?</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Kontextanalyse, Notfallvorsorge, Messreihen zum Verbrauch</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21"/>
          <w:szCs w:val="21"/>
        </w:rPr>
        <w:t xml:space="preserve">Ein leeres Formblatt für 6.3 oder ein aus einer Vorlage kopiertes Risikoregister besteht keine Stichprobe. Kennt die Technik den Änderungsprozess nicht, ist er nicht eingeführt.</w:t>
      </w:r>
    </w:p>
    <w:p>
      <w:pPr>
        <w:keepNext/>
        <w:spacing w:after="120" w:before="280"/>
      </w:pPr>
      <w:r>
        <w:rPr>
          <w:rFonts w:ascii="Aptos" w:cs="Aptos" w:eastAsia="Aptos" w:hAnsi="Aptos"/>
          <w:b/>
          <w:bCs/>
          <w:color w:val="8C5A2B"/>
          <w:sz w:val="26"/>
          <w:szCs w:val="26"/>
        </w:rPr>
        <w:t xml:space="preserve">H. Transitionsplan</w:t>
      </w:r>
    </w:p>
    <w:p>
      <w:pPr>
        <w:spacing w:after="140" w:before="0" w:line="300"/>
        <w:jc w:val="both"/>
      </w:pPr>
      <w:r>
        <w:rPr>
          <w:rFonts w:ascii="Aptos" w:cs="Aptos" w:eastAsia="Aptos" w:hAnsi="Aptos"/>
          <w:color w:val="1A1A1A"/>
          <w:sz w:val="21"/>
          <w:szCs w:val="21"/>
        </w:rPr>
        <w:t xml:space="preserve">Die Eingriffe gehören in die ordentlichen PDCA-Tätigkeiten, nicht in ein Sonderprojekt. Ziele werden bei der Managementbewertung aktualisiert, die Kontextanalyse bei ihrer ordentlichen Überprüfung, Verfahren in den internen Auditzyklen.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3855"/>
        <w:gridCol w:w="1542"/>
        <w:gridCol w:w="1157"/>
        <w:gridCol w:w="1157"/>
        <w:gridCol w:w="1156"/>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Phase</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Inhalt</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Eingebettet in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Zeitraum</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11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Hinzuzufügende Elemente: Prozess nach 6.3, Bestimmung der Risiken und Chancen nach 6.1.4 mit den Bereichen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Zu aktualisierende Elemente: 4.1, 6.1.5, 6.2, 8.1, redaktionell 9.3 und 10, Auditprogramm um 6.1.4 und 6.3 erweitern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Wirksamkeit der Eingriffe prüfen, internes Transitionsaudit, Unterlagen für die Stelle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Unterlagen an die Stelle vor dem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97"/>
        <w:gridCol w:w="1735"/>
        <w:gridCol w:w="2506"/>
      </w:tblGrid>
      <w:tr>
        <w:trPr>
          <w:tblHeader/>
        </w:trPr>
        <w:tc>
          <w:tcPr>
            <w:tcW w:type="dxa" w:w="53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Unterlage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Gesendet am</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Bestätigung der Stelle</w:t>
            </w:r>
          </w:p>
        </w:tc>
      </w:tr>
      <w:tr>
        <w:trPr>
          <w:cantSplit/>
        </w:trPr>
        <w:tc>
          <w:tcPr>
            <w:tcW w:type="dxa" w:w="53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Gap-Analyse (mit Version und Datum)</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Transitionsplan mit Fortschritt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Änderungsregister nach 6.3</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Geänderte Dokumente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Bitte um Bestätigung der Auditzeit und der Bereiche größter Aufmerksamkeit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color w:val="1A1A1A"/>
          <w:sz w:val="21"/>
          <w:szCs w:val="21"/>
        </w:rPr>
        <w:t xml:space="preserve">Bleibt ein Dissens über die Lesart einer Anforderung, hilft die sachliche Bitte, die Anforderung im Normtext zu zeigen. Danach steht das Einspruchsverfahren der Stelle offen.</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Arbeitsblatt ersetzt nicht die ISO 14001:2026 und nicht die Übergangsvorgaben der eigenen Stelle. Es ist keine Rechtsberatung. Die Einstufungen sind am eigenen System und am Normtext zu prüfen und an das eigene Haus anzupassen. Rechtsstand ist der 11. Oktober 2026.</w:t>
      </w:r>
    </w:p>
    <w:p>
      <w:pPr>
        <w:spacing w:after="140" w:before="0" w:line="300"/>
        <w:jc w:val="both"/>
      </w:pPr>
      <w:r>
        <w:rPr>
          <w:rFonts w:ascii="Aptos" w:cs="Aptos" w:eastAsia="Aptos" w:hAnsi="Aptos"/>
          <w:i/>
          <w:iCs/>
          <w:color w:val="1A1A1A"/>
          <w:sz w:val="21"/>
          <w:szCs w:val="21"/>
        </w:rPr>
        <w:t xml:space="preserve">Bezug im Buch: Band 1b, Abschnitt 4.3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2026-10-11T23:07:55.114Z</dcterms:created>
  <dcterms:modified xsi:type="dcterms:W3CDTF">2026-10-11T23:07:55.115Z</dcterms:modified>
</cp:coreProperties>
</file>

<file path=docProps/custom.xml><?xml version="1.0" encoding="utf-8"?>
<Properties xmlns="http://schemas.openxmlformats.org/officeDocument/2006/custom-properties" xmlns:vt="http://schemas.openxmlformats.org/officeDocument/2006/docPropsVTypes"/>
</file>