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1b · ISO 14001:2026</w:t>
      </w:r>
    </w:p>
    <w:p>
      <w:pPr>
        <w:spacing w:after="200"/>
      </w:pPr>
      <w:r>
        <w:rPr>
          <w:rFonts w:ascii="Aptos" w:cs="Aptos" w:eastAsia="Aptos" w:hAnsi="Aptos"/>
          <w:b/>
          <w:bCs/>
          <w:color w:val="8C5A2B"/>
          <w:sz w:val="18"/>
          <w:szCs w:val="18"/>
        </w:rPr>
        <w:t xml:space="preserve">ONLINE-MATERIAL ZU ABSCHNITT 4.6</w:t>
      </w:r>
    </w:p>
    <w:p>
      <w:pPr>
        <w:pStyle w:val="Heading1"/>
        <w:spacing w:after="120" w:line="360"/>
      </w:pPr>
      <w:r>
        <w:rPr>
          <w:rFonts w:ascii="Aptos" w:cs="Aptos" w:eastAsia="Aptos" w:hAnsi="Aptos"/>
          <w:b/>
          <w:bCs/>
          <w:color w:val="002060"/>
          <w:sz w:val="36"/>
          <w:szCs w:val="36"/>
        </w:rPr>
        <w:t xml:space="preserve">Kritische Hotelbereiche — Selbstprüfung</w:t>
      </w:r>
    </w:p>
    <w:p>
      <w:pPr>
        <w:spacing w:after="200"/>
      </w:pPr>
      <w:r>
        <w:rPr>
          <w:rFonts w:ascii="Aptos" w:cs="Aptos" w:eastAsia="Aptos" w:hAnsi="Aptos"/>
          <w:i/>
          <w:iCs/>
          <w:color w:val="5A5A5A"/>
          <w:sz w:val="22"/>
          <w:szCs w:val="22"/>
        </w:rPr>
        <w:t xml:space="preserve">Arbeitsblatt für die Vorbereitung auf Überwachung und Rezertifizierung, aus Sicht des Hotels</w:t>
      </w:r>
    </w:p>
    <w:p>
      <w:pPr>
        <w:pBdr>
          <w:bottom w:val="single" w:color="C9BBA6" w:sz="6" w:space="4"/>
        </w:pBdr>
        <w:spacing w:after="240"/>
      </w:pPr>
      <w:r>
        <w:rPr>
          <w:rFonts w:ascii="Aptos" w:cs="Aptos" w:eastAsia="Aptos" w:hAnsi="Aptos"/>
          <w:color w:val="5A5A5A"/>
          <w:sz w:val="17"/>
          <w:szCs w:val="17"/>
        </w:rPr>
        <w:t xml:space="preserve">Stand: 11.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Das Arbeitsblatt setzt die fünf kritischen Bereiche und den Querschnittsbereich Fremdpersonal aus Abschnitt 4.6 in eine Selbstprüfung um. Die fünf Bereiche sind eine methodologische Auswahl des Bandes, keine durch eine Studie belegte Rangfolge. Branchenzahlen enthält das Material nicht; die Prüfung stützt sich auf die eigenen Daten des Hauses.</w:t>
            </w:r>
          </w:p>
        </w:tc>
      </w:tr>
    </w:tbl>
    <w:p>
      <w:pPr>
        <w:spacing w:after="120"/>
      </w:pPr>
    </w:p>
    <w:p>
      <w:pPr>
        <w:keepNext/>
        <w:spacing w:after="120" w:before="280"/>
      </w:pPr>
      <w:r>
        <w:rPr>
          <w:rFonts w:ascii="Aptos" w:cs="Aptos" w:eastAsia="Aptos" w:hAnsi="Aptos"/>
          <w:b/>
          <w:bCs/>
          <w:color w:val="8C5A2B"/>
          <w:sz w:val="26"/>
          <w:szCs w:val="26"/>
        </w:rPr>
        <w:t xml:space="preserve">A. Wozu diese Selbstprüfung dient</w:t>
      </w:r>
    </w:p>
    <w:p>
      <w:pPr>
        <w:spacing w:after="140" w:before="0" w:line="300"/>
        <w:jc w:val="both"/>
      </w:pPr>
      <w:r>
        <w:rPr>
          <w:rFonts w:ascii="Aptos" w:cs="Aptos" w:eastAsia="Aptos" w:hAnsi="Aptos"/>
          <w:color w:val="1A1A1A"/>
          <w:sz w:val="21"/>
          <w:szCs w:val="21"/>
        </w:rPr>
        <w:t xml:space="preserve">Bestimmte Anforderungen der ISO 14001:2026 sind im Hotel strukturell schwer stabil zu erfüllen. Ursachen sind Saisonalität, die Breite der Umweltaspekte und die Nähe zwischen Umweltaspekt und Gästeerlebnis. Der externe Auditor gewichtet seine Auditzeit dort, wo der Sektor erfahrungsgemäß Schwächen zeigt.</w:t>
      </w:r>
    </w:p>
    <w:p>
      <w:pPr>
        <w:spacing w:after="140" w:before="0" w:line="300"/>
        <w:jc w:val="both"/>
      </w:pPr>
      <w:r>
        <w:rPr>
          <w:rFonts w:ascii="Aptos" w:cs="Aptos" w:eastAsia="Aptos" w:hAnsi="Aptos"/>
          <w:color w:val="1A1A1A"/>
          <w:sz w:val="21"/>
          <w:szCs w:val="21"/>
        </w:rPr>
        <w:t xml:space="preserve">Das Buch schlägt deshalb eine kurze Selbstprüfung vor jedem externen Audit vor. Etwa vier Wochen vorher stellt die Nachhaltigkeitsbeauftragte je kritischem Bereich fünf Fragen an zufällig gewählte Personen, einschließlich Fremdpersonal. Den Aufwand schätzt das Buch als Modellannahme auf einen halben Tag.</w:t>
      </w:r>
    </w:p>
    <w:p>
      <w:pPr>
        <w:spacing w:after="140" w:before="0" w:line="300"/>
        <w:jc w:val="both"/>
      </w:pPr>
      <w:r>
        <w:rPr>
          <w:rFonts w:ascii="Aptos" w:cs="Aptos" w:eastAsia="Aptos" w:hAnsi="Aptos"/>
          <w:color w:val="1A1A1A"/>
          <w:sz w:val="21"/>
          <w:szCs w:val="21"/>
        </w:rPr>
        <w:t xml:space="preserve">Die Bereiche und ihre typischen Ursachen stehen in Tabelle 20 des Buches. Arbeitsblatt 2 übernimmt sie in Kurzform.</w:t>
      </w:r>
    </w:p>
    <w:p>
      <w:pPr>
        <w:keepNext/>
        <w:spacing w:after="120" w:before="280"/>
      </w:pPr>
      <w:r>
        <w:rPr>
          <w:rFonts w:ascii="Aptos" w:cs="Aptos" w:eastAsia="Aptos" w:hAnsi="Aptos"/>
          <w:b/>
          <w:bCs/>
          <w:color w:val="8C5A2B"/>
          <w:sz w:val="26"/>
          <w:szCs w:val="26"/>
        </w:rPr>
        <w:t xml:space="preserve">B. Schritt 1: Die eigene Organisationsgrenze kennen</w:t>
      </w:r>
    </w:p>
    <w:p>
      <w:pPr>
        <w:spacing w:after="140" w:before="0" w:line="300"/>
        <w:jc w:val="both"/>
      </w:pPr>
      <w:r>
        <w:rPr>
          <w:rFonts w:ascii="Aptos" w:cs="Aptos" w:eastAsia="Aptos" w:hAnsi="Aptos"/>
          <w:color w:val="1A1A1A"/>
          <w:sz w:val="21"/>
          <w:szCs w:val="21"/>
        </w:rPr>
        <w:t xml:space="preserve">Die richtige Leitfrage lautet nach dem Buch nicht «Sind wir ein Saisonbetrieb?». Sie lautet: «Wer arbeitet in unserem Haus, ohne bei uns angestellt zu sein?» Klausel 7.3 betrifft alle Personen, die unter der Kontrolle der Organisation arbeiten.</w:t>
      </w:r>
    </w:p>
    <w:p>
      <w:pPr>
        <w:spacing w:after="140" w:before="0" w:line="300"/>
        <w:jc w:val="both"/>
      </w:pPr>
      <w:r>
        <w:rPr>
          <w:rFonts w:ascii="Aptos" w:cs="Aptos" w:eastAsia="Aptos" w:hAnsi="Aptos"/>
          <w:color w:val="1A1A1A"/>
          <w:sz w:val="21"/>
          <w:szCs w:val="21"/>
        </w:rPr>
        <w:t xml:space="preserve">Diese Übersicht legt das Hotel dem externen Auditor zu Beginn vor. Er kann seine Stichprobe dann gezielt ziehen. Kann ein Haus sie nicht liefern, zeigt es damit, dass es seine Organisationsgrenze nicht kennt.</w:t>
      </w:r>
    </w:p>
    <w:p>
      <w:pPr>
        <w:keepNext/>
        <w:spacing w:after="90" w:before="160"/>
      </w:pPr>
      <w:r>
        <w:rPr>
          <w:rFonts w:ascii="Aptos" w:cs="Aptos" w:eastAsia="Aptos" w:hAnsi="Aptos"/>
          <w:b/>
          <w:bCs/>
          <w:color w:val="5A5A5A"/>
          <w:sz w:val="18"/>
          <w:szCs w:val="18"/>
        </w:rPr>
        <w:t xml:space="preserve">Arbeitsblatt 1: Personalübersicht je Bereich (Stichtag: ____________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1060"/>
        <w:gridCol w:w="1060"/>
        <w:gridCol w:w="2313"/>
        <w:gridCol w:w="1446"/>
        <w:gridCol w:w="1446"/>
      </w:tblGrid>
      <w:tr>
        <w:trPr>
          <w:tblHeader/>
        </w:trPr>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Bereich</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Stammpersonal</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Saisonkräfte</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Fremdpersonal (Firma, Tätigkeit)</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Eintritte seit letzter Schulung</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Onboarding nachgewiesen</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Housekeeping</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Öffentliche Bereiche, Reinigung</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Küche</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Service und Bankett</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Technik und Wartung</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Spa und Pool</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Rezeption und Nachtdienst</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Wäscherei, Logistik</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Summe</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C. Schritt 2: Das eigene Vulnerabilitätsprofil</w:t>
      </w:r>
    </w:p>
    <w:p>
      <w:pPr>
        <w:spacing w:after="140" w:before="0" w:line="300"/>
        <w:jc w:val="both"/>
      </w:pPr>
      <w:r>
        <w:rPr>
          <w:rFonts w:ascii="Aptos" w:cs="Aptos" w:eastAsia="Aptos" w:hAnsi="Aptos"/>
          <w:color w:val="1A1A1A"/>
          <w:sz w:val="21"/>
          <w:szCs w:val="21"/>
        </w:rPr>
        <w:t xml:space="preserve">Die fünf Bereiche sind ein Ausgangspunkt, kein Ergebnis. Ein Stadthotel mit starker Fremdvergabe hat ein anderes Profil als ein Bergresort. Ohne eigene Daten aus internen Audits, Beschwerden und Vorfällen bleibt das Profil eine Vermutung.</w:t>
      </w:r>
    </w:p>
    <w:p>
      <w:pPr>
        <w:spacing w:after="140" w:before="0" w:line="300"/>
        <w:jc w:val="both"/>
      </w:pPr>
      <w:r>
        <w:rPr>
          <w:rFonts w:ascii="Aptos" w:cs="Aptos" w:eastAsia="Aptos" w:hAnsi="Aptos"/>
          <w:color w:val="1A1A1A"/>
          <w:sz w:val="21"/>
          <w:szCs w:val="21"/>
        </w:rPr>
        <w:t xml:space="preserve">Bewerten Sie jeden Bereich mit hoch, mittel oder niedrig. Grundlage sind die Befunde des letzten internen Auditzyklus und des letzten Überwachungsaudits.</w:t>
      </w:r>
    </w:p>
    <w:p>
      <w:pPr>
        <w:keepNext/>
        <w:spacing w:after="90" w:before="160"/>
      </w:pPr>
      <w:r>
        <w:rPr>
          <w:rFonts w:ascii="Aptos" w:cs="Aptos" w:eastAsia="Aptos" w:hAnsi="Aptos"/>
          <w:b/>
          <w:bCs/>
          <w:color w:val="5A5A5A"/>
          <w:sz w:val="18"/>
          <w:szCs w:val="18"/>
        </w:rPr>
        <w:t xml:space="preserve">Arbeitsblatt 2: Vulnerabilitätsprofil des Hauses (nach Tabelle 20 des Buches)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24"/>
        <w:gridCol w:w="2313"/>
        <w:gridCol w:w="2217"/>
        <w:gridCol w:w="964"/>
        <w:gridCol w:w="2120"/>
      </w:tblGrid>
      <w:tr>
        <w:trPr>
          <w:tblHeader/>
        </w:trPr>
        <w:tc>
          <w:tcPr>
            <w:tcW w:type="dxa" w:w="2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Bereich</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Typische Ursache (nach Buch)</w:t>
            </w:r>
          </w:p>
        </w:tc>
        <w:tc>
          <w:tcPr>
            <w:tcW w:type="dxa" w:w="22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Eigene Daten (Audits, Beschwerden, Vorfälle)</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Risiko h / m / n</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Begründung, Prüffrequenz</w:t>
            </w:r>
          </w:p>
        </w:tc>
      </w:tr>
      <w:tr>
        <w:trPr>
          <w:cantSplit/>
        </w:trPr>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 · Bewusstsein (7.3)</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Rotation, Mehrsprachigkeit, Hochsaisondruck</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 · Konformitäts­bewertung (9.1.2)</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Breites Pflichtfeld, übersteigt oft interne Rechtskompetenz</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 · Lieferkette (8.1)</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Ausgelagerte Prozesse nicht systematisch verifiziert</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 · Ziele mit Trajektorie (6.2)</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Mehrjähriges Ziel nur als Jahressollwert</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5 · Notfall­vorsorge (8.2)</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Klimarisiken nach 6.1.4 nicht operationalisiert, Tests nicht dokumentiert</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Querschnitt · Fremdpersonal (7.3, 8.1)</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Schulungsliste und Vertrag ohne Umweltanforderungen</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Frequenz </w:t>
            </w:r>
            <w:r>
              <w:rPr>
                <w:rFonts w:ascii="Aptos" w:cs="Aptos" w:eastAsia="Aptos" w:hAnsi="Aptos"/>
                <w:color w:val="1A1A1A"/>
                <w:sz w:val="21"/>
                <w:szCs w:val="21"/>
              </w:rPr>
              <w:t xml:space="preserve">Das Buch empfiehlt für die kritischen Bereiche eine halbjährliche, bei Bedarf vierteljährliche Verifikation im internen Auditprogramm. Sie ergänzt den rollierenden Zyklus aller Klauseln. Eine nicht angekündigte Visite zu Beginn der Hochsaison, nach dem Onboarding, zeigt den Systemstand am realistischsten.</w:t>
            </w:r>
          </w:p>
        </w:tc>
      </w:tr>
    </w:tbl>
    <w:p>
      <w:pPr>
        <w:spacing w:after="120"/>
      </w:pPr>
    </w:p>
    <w:p>
      <w:pPr>
        <w:keepNext/>
        <w:spacing w:after="120" w:before="280"/>
      </w:pPr>
      <w:r>
        <w:rPr>
          <w:rFonts w:ascii="Aptos" w:cs="Aptos" w:eastAsia="Aptos" w:hAnsi="Aptos"/>
          <w:b/>
          <w:bCs/>
          <w:color w:val="8C5A2B"/>
          <w:sz w:val="26"/>
          <w:szCs w:val="26"/>
        </w:rPr>
        <w:t xml:space="preserve">D. Schritt 3: Prüffragen je Bereich</w:t>
      </w:r>
    </w:p>
    <w:p>
      <w:pPr>
        <w:spacing w:after="140" w:before="0" w:line="300"/>
        <w:jc w:val="both"/>
      </w:pPr>
      <w:r>
        <w:rPr>
          <w:rFonts w:ascii="Aptos" w:cs="Aptos" w:eastAsia="Aptos" w:hAnsi="Aptos"/>
          <w:color w:val="1A1A1A"/>
          <w:sz w:val="21"/>
          <w:szCs w:val="21"/>
        </w:rPr>
        <w:t xml:space="preserve">Die Fragen folgen den Betreuungssystemen des Buches. Ein Betreuungssystem sichert, dass das erwartete Verhalten auch ohne direkte Aufsicht eintritt. Markieren Sie je Frage: ja, teilweise oder nein. Notieren Sie den gesehenen Nachweis.</w:t>
      </w:r>
    </w:p>
    <w:p>
      <w:pPr>
        <w:keepNext/>
        <w:spacing w:after="90" w:before="200"/>
      </w:pPr>
      <w:r>
        <w:rPr>
          <w:rFonts w:ascii="Aptos" w:cs="Aptos" w:eastAsia="Aptos" w:hAnsi="Aptos"/>
          <w:b/>
          <w:bCs/>
          <w:color w:val="002060"/>
          <w:sz w:val="22"/>
          <w:szCs w:val="22"/>
        </w:rPr>
        <w:t xml:space="preserve">D1 · Bewusstsein des operativen Personals (7.3)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48"/>
        <w:gridCol w:w="2891"/>
        <w:gridCol w:w="771"/>
        <w:gridCol w:w="1928"/>
      </w:tblGrid>
      <w:tr>
        <w:trPr>
          <w:tblHeader/>
        </w:trPr>
        <w:tc>
          <w:tcPr>
            <w:tcW w:type="dxa" w:w="40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Prüffrage</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Nachweis</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 / t / n</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Bemerkung</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Erhält jeder neue Mitarbeitende ein Umwelt-Onboarding von etwa dreißig Minuten in der ersten Woche?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Eintrittsliste gegen Onboarding-Register abgleichen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Erfolgt das Onboarding in den Sprachen des Personals, mit Verständnisfragen am Ende?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Register mit Datum, Sprache und Ergebnis</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je Hauptbereich ein Umweltreferent nominiert und zusätzlich geschult?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Nominierung, Schulungsnachweis</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Hängen visuelle Materialien in den Betriebsbereichen in den relevanten Sprachen?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Begehung</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Prüft der Abteilungsleiter vierteljährlich mündlich, im Buch bei drei Personen je Bereich?</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Prüfungsregister</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Gibt es Nachbesserungsmaßnahmen für unzureichende Ergebnisse?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Prüfungsregister mit Maßnahmen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D2 · Konformitätsbewertung (9.1.2)</w:t>
      </w:r>
    </w:p>
    <w:p>
      <w:pPr>
        <w:spacing w:after="140" w:before="0" w:line="300"/>
        <w:jc w:val="both"/>
      </w:pPr>
      <w:r>
        <w:rPr>
          <w:rFonts w:ascii="Aptos" w:cs="Aptos" w:eastAsia="Aptos" w:hAnsi="Aptos"/>
          <w:color w:val="1A1A1A"/>
          <w:sz w:val="21"/>
          <w:szCs w:val="21"/>
        </w:rPr>
        <w:t xml:space="preserve">Das Buch nennt für ein Bergresort im DACH-Raum unter anderem: F-Gase-Verordnung (EU) 2024/573, AbwV / WRG / GSchV, ElektroG / EAG-VO / VREG, Bäder-Hygieneverordnungen und das Gebäudeenergierecht. In Deutschland ist das seit 29. Juli 2026 das GModG. Welche Pflichten für Ihr Haus gelten, prüfen Sie an der geltenden Fassung.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48"/>
        <w:gridCol w:w="2891"/>
        <w:gridCol w:w="771"/>
        <w:gridCol w:w="1928"/>
      </w:tblGrid>
      <w:tr>
        <w:trPr>
          <w:tblHeader/>
        </w:trPr>
        <w:tc>
          <w:tcPr>
            <w:tcW w:type="dxa" w:w="40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Prüffrage</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Nachweis</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 / t / n</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Bemerkung</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Hat jede Pflicht im Register eine eigene Bewertungsfrequenz, proportional zu ihrer Relevanz?</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Register mit Frequenzspalte</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der Bewertungskalender in den internen Auditplan integriert?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Auditplan, Kalender</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Sind die Prüfintervalle der Kälteanlagen im Register hinterlegt und eingehalten?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F-Gas-Register, letzte Dichtheitsprotokolle</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Liegen Beprobungsberichte, Sicherheitsdatenblätter und Einleitungs- oder Entsorgungsnachweise für das Spa vor?</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Berichte, Datenblätter, Nachweise</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Wie erfährt das Haus von Änderungen des anwendbaren Rahmens?</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Festgelegter Weg der Rechtsbeobachtung</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Sind Unterlagen der Dienstleister angefordert, geprüft und abgelegt, nicht nur zugesichert?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Abgelegte Fremdunterlagen mit Prüfvermerk</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D3 · Steuerung der Lieferkette (8.1)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48"/>
        <w:gridCol w:w="2891"/>
        <w:gridCol w:w="771"/>
        <w:gridCol w:w="1928"/>
      </w:tblGrid>
      <w:tr>
        <w:trPr>
          <w:tblHeader/>
        </w:trPr>
        <w:tc>
          <w:tcPr>
            <w:tcW w:type="dxa" w:w="40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Prüffrage</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Nachweis</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 / t / n</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Bemerkung</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Welche ausgelagerten Prozesse sind als kritisch eingestuft?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Lieferantenliste mit Kritikalität</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Welche Umweltanforderungen wurden den Anbietern kommuniziert?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Vertragsklauseln, Schreiben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Enthalten die Beschaffungsspezifikationen der Kategorien mit den größten Auswirkungen Umweltkriterien?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Spezifikationen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Gibt es ein Engagement-Programm mit Aktivitätslog je Lieferant?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Programm, Log</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Wie wird mit Lieferanten verfahren, die nicht antworten?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Verfahren mit Fristen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Nur Deutschland: Werden Informationsanfragen LkSG-pflichtiger Kunden abgestimmt beantwortet? Eine eigene LkSG-Pflicht des Hotels folgt daraus nach dem Buch nicht.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Anfragen, Antworten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D4 · Ziele mit dokumentierter Trajektorie (6.2)</w:t>
      </w:r>
    </w:p>
    <w:p>
      <w:pPr>
        <w:spacing w:after="140" w:before="0" w:line="300"/>
        <w:jc w:val="both"/>
      </w:pPr>
      <w:r>
        <w:rPr>
          <w:rFonts w:ascii="Aptos" w:cs="Aptos" w:eastAsia="Aptos" w:hAnsi="Aptos"/>
          <w:color w:val="1A1A1A"/>
          <w:sz w:val="21"/>
          <w:szCs w:val="21"/>
        </w:rPr>
        <w:t xml:space="preserve">Die Norm verlangt messbare, überwachte und kommunizierte Ziele mit geplanten Maßnahmen. Eine Dekarbonisierungskurve schreibt sie nicht vor. Hat sich das Haus selbst ein mehrjähriges Ziel gesetzt, prüft der Auditor es wie jedes andere Ziel.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48"/>
        <w:gridCol w:w="2891"/>
        <w:gridCol w:w="771"/>
        <w:gridCol w:w="1928"/>
      </w:tblGrid>
      <w:tr>
        <w:trPr>
          <w:tblHeader/>
        </w:trPr>
        <w:tc>
          <w:tcPr>
            <w:tcW w:type="dxa" w:w="40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Prüffrage</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Nachweis</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 / t / n</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Bemerkung</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Gibt es für jedes formale Ziel ein Blatt mit Baseline-Wert?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Zielblatt</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Hat ein mehrjähriges Ziel eine Kurve mit jährlichen Meilensteinen?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Zielblatt mit Meilensteinen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das Ziel mit dem Bezugsrisiko oder der Bezugschance verknüpft und mit dem CapEx-Plan abgeglichen?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Verweis auf 6.1, Investitionsplan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Wird der Fortschritt vierteljährlich gegen die Trajektorie verfolgt, nicht nur gegen den Jahressollwert?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Monitoring</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geregelt, wann die Trajektorie bei geänderten Ausgangsannahmen aktualisiert wird?</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Verfahren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D5 · Notfallvorsorge (8.2)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48"/>
        <w:gridCol w:w="2891"/>
        <w:gridCol w:w="771"/>
        <w:gridCol w:w="1928"/>
      </w:tblGrid>
      <w:tr>
        <w:trPr>
          <w:tblHeader/>
        </w:trPr>
        <w:tc>
          <w:tcPr>
            <w:tcW w:type="dxa" w:w="40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Prüffrage</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Nachweis</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 / t / n</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Bemerkung</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Sind die nach 6.1.4 bestimmten Klimarisiken, etwa Extremhitze, Trockenheit oder Unwetter, in Notfallplänen operationalisiert?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Notfallpläne</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Gibt es einen jährlichen Testkalender mit mindestens einem Test je Plan, vorzugsweise in der Vorsaison?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Kalender</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Hat jeder Test ein Protokoll mit Lücken, Ursachen und Plananpassungen?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Testregister</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Wird der Plan innerhalb von dreißig Tagen nach Test oder realem Ereignis aktualisiert?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Versionsstand der Pläne</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Wann wurde der Notfallplan für Unwetter zuletzt getestet?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Testprotokoll</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Alpine Lage: Sind Steinschlag, Murgänge und Lawinenrisiko nach WLV-Gefahrenkarten (Ö) oder kantonalen Naturgefahrenkatastern (CH) berücksichtigt?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Gefahrenkarte, Plan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D6 · Querschnitt Fremdpersonal (7.3 und 8.1)</w:t>
      </w:r>
    </w:p>
    <w:p>
      <w:pPr>
        <w:spacing w:after="140" w:before="0" w:line="300"/>
        <w:jc w:val="both"/>
      </w:pPr>
      <w:r>
        <w:rPr>
          <w:rFonts w:ascii="Aptos" w:cs="Aptos" w:eastAsia="Aptos" w:hAnsi="Aptos"/>
          <w:color w:val="1A1A1A"/>
          <w:sz w:val="21"/>
          <w:szCs w:val="21"/>
        </w:rPr>
        <w:t xml:space="preserve">Der externe Auditor befragt Fremdpersonal wie eigenes Personal. Ein Befund trifft hier oft zwei kritische Bereiche zugleich. Im Audit zählt, ob die Tätigkeit im Haus nach den Umweltregeln des Systems ausgeführt wird.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48"/>
        <w:gridCol w:w="2891"/>
        <w:gridCol w:w="771"/>
        <w:gridCol w:w="1928"/>
      </w:tblGrid>
      <w:tr>
        <w:trPr>
          <w:tblHeader/>
        </w:trPr>
        <w:tc>
          <w:tcPr>
            <w:tcW w:type="dxa" w:w="40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Prüffrage</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Nachweis</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 / t / n</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Bemerkung</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Sind alle Fremdfirmen erfasst, die in Bereichen mit wesentlichen Umweltaspekten arbeiten?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Arbeitsblatt 1</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Verpflichtet der Vertrag die Fremdfirma, ihre Mitarbeitenden in die Umweltregeln des Hauses einzuweisen, mit Nachweis?</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Vertragsklausel</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Liefert die Fremdfirma regelmäßig eine Liste eingewiesener Personen, die das Haus mit den Dienstplänen abgleicht?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Liste, Abgleich</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Kennt das Fremdpersonal zum Beispiel die Dosierregel für Reinigungsmittel und den Meldeweg bei Leckagen?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Befragung</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Kommt Fremdpersonal in der Stichprobe des internen Audits vor?</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Auditbericht</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E. Schritt 4: Kurzbefragung vor dem externen Audit</w:t>
      </w:r>
    </w:p>
    <w:p>
      <w:pPr>
        <w:spacing w:after="140" w:before="0" w:line="300"/>
        <w:jc w:val="both"/>
      </w:pPr>
      <w:r>
        <w:rPr>
          <w:rFonts w:ascii="Aptos" w:cs="Aptos" w:eastAsia="Aptos" w:hAnsi="Aptos"/>
          <w:color w:val="1A1A1A"/>
          <w:sz w:val="21"/>
          <w:szCs w:val="21"/>
        </w:rPr>
        <w:t xml:space="preserve">Wählen Sie die Personen zufällig. Die Stichprobe folgt dem Risiko: Neueintritte, Fremdpersonal und Nachtschichten, nicht nur Stammkräfte. Feste Mindestzahlen gibt die Norm nicht vor. In einem Haus mit hoher Rotation befragt der externe Auditor nach dem Buch eher acht bis zehn operative Mitarbeitende aus mehreren Bereichen.</w:t>
      </w:r>
    </w:p>
    <w:p>
      <w:pPr>
        <w:spacing w:after="140" w:before="0" w:line="300"/>
        <w:jc w:val="both"/>
      </w:pPr>
      <w:r>
        <w:rPr>
          <w:rFonts w:ascii="Aptos" w:cs="Aptos" w:eastAsia="Aptos" w:hAnsi="Aptos"/>
          <w:color w:val="1A1A1A"/>
          <w:sz w:val="21"/>
          <w:szCs w:val="21"/>
        </w:rPr>
        <w:t xml:space="preserve">Die fünf Leitfragen folgen den vier Bewusstseinsdimensionen von 7.3 und dem Meldeweg. Formulieren Sie sie in der Sprache des Bereichs, nicht in Normsprache.</w:t>
      </w:r>
    </w:p>
    <w:p>
      <w:pPr>
        <w:pStyle w:val="ListParagraph"/>
        <w:numPr>
          <w:ilvl w:val="0"/>
          <w:numId w:val="2"/>
        </w:numPr>
        <w:spacing w:after="70" w:line="290"/>
        <w:jc w:val="left"/>
      </w:pPr>
      <w:r>
        <w:rPr>
          <w:rFonts w:ascii="Aptos" w:cs="Aptos" w:eastAsia="Aptos" w:hAnsi="Aptos"/>
          <w:color w:val="1A1A1A"/>
          <w:sz w:val="21"/>
          <w:szCs w:val="21"/>
        </w:rPr>
        <w:t xml:space="preserve">Was ist dem Haus beim Umweltschutz wichtig? (Umweltpolitik)</w:t>
      </w:r>
    </w:p>
    <w:p>
      <w:pPr>
        <w:pStyle w:val="ListParagraph"/>
        <w:numPr>
          <w:ilvl w:val="0"/>
          <w:numId w:val="2"/>
        </w:numPr>
        <w:spacing w:after="70" w:line="290"/>
        <w:jc w:val="left"/>
      </w:pPr>
      <w:r>
        <w:rPr>
          <w:rFonts w:ascii="Aptos" w:cs="Aptos" w:eastAsia="Aptos" w:hAnsi="Aptos"/>
          <w:color w:val="1A1A1A"/>
          <w:sz w:val="21"/>
          <w:szCs w:val="21"/>
        </w:rPr>
        <w:t xml:space="preserve">Welche Umweltaspekte betreffen Ihre Arbeit hier? (wesentliche Umweltaspekte)</w:t>
      </w:r>
    </w:p>
    <w:p>
      <w:pPr>
        <w:pStyle w:val="ListParagraph"/>
        <w:numPr>
          <w:ilvl w:val="0"/>
          <w:numId w:val="2"/>
        </w:numPr>
        <w:spacing w:after="70" w:line="290"/>
        <w:jc w:val="left"/>
      </w:pPr>
      <w:r>
        <w:rPr>
          <w:rFonts w:ascii="Aptos" w:cs="Aptos" w:eastAsia="Aptos" w:hAnsi="Aptos"/>
          <w:color w:val="1A1A1A"/>
          <w:sz w:val="21"/>
          <w:szCs w:val="21"/>
        </w:rPr>
        <w:t xml:space="preserve">Was tragen Sie konkret dazu bei? (eigener Beitrag)</w:t>
      </w:r>
    </w:p>
    <w:p>
      <w:pPr>
        <w:pStyle w:val="ListParagraph"/>
        <w:numPr>
          <w:ilvl w:val="0"/>
          <w:numId w:val="2"/>
        </w:numPr>
        <w:spacing w:after="70" w:line="290"/>
        <w:jc w:val="left"/>
      </w:pPr>
      <w:r>
        <w:rPr>
          <w:rFonts w:ascii="Aptos" w:cs="Aptos" w:eastAsia="Aptos" w:hAnsi="Aptos"/>
          <w:color w:val="1A1A1A"/>
          <w:sz w:val="21"/>
          <w:szCs w:val="21"/>
        </w:rPr>
        <w:t xml:space="preserve">Was passiert, wenn die Regel nicht eingehalten wird? (Folgen der Nichteinhaltung)</w:t>
      </w:r>
    </w:p>
    <w:p>
      <w:pPr>
        <w:pStyle w:val="ListParagraph"/>
        <w:numPr>
          <w:ilvl w:val="0"/>
          <w:numId w:val="2"/>
        </w:numPr>
        <w:spacing w:after="70" w:line="290"/>
        <w:jc w:val="left"/>
      </w:pPr>
      <w:r>
        <w:rPr>
          <w:rFonts w:ascii="Aptos" w:cs="Aptos" w:eastAsia="Aptos" w:hAnsi="Aptos"/>
          <w:color w:val="1A1A1A"/>
          <w:sz w:val="21"/>
          <w:szCs w:val="21"/>
        </w:rPr>
        <w:t xml:space="preserve">Wen informieren Sie bei einer Leckage oder einem Umweltvorfall? (Meldeweg)</w:t>
      </w:r>
    </w:p>
    <w:p>
      <w:pPr>
        <w:keepNext/>
        <w:spacing w:after="90" w:before="160"/>
      </w:pPr>
      <w:r>
        <w:rPr>
          <w:rFonts w:ascii="Aptos" w:cs="Aptos" w:eastAsia="Aptos" w:hAnsi="Aptos"/>
          <w:b/>
          <w:bCs/>
          <w:color w:val="5A5A5A"/>
          <w:sz w:val="18"/>
          <w:szCs w:val="18"/>
        </w:rPr>
        <w:t xml:space="preserve">Arbeitsblatt 3: Befragungsprotokoll (S = Stammpersonal, Sa = Saisonkraft, F = Fremdpersonal)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2"/>
        <w:gridCol w:w="1253"/>
        <w:gridCol w:w="771"/>
        <w:gridCol w:w="771"/>
        <w:gridCol w:w="867"/>
        <w:gridCol w:w="482"/>
        <w:gridCol w:w="482"/>
        <w:gridCol w:w="482"/>
        <w:gridCol w:w="482"/>
        <w:gridCol w:w="482"/>
        <w:gridCol w:w="964"/>
        <w:gridCol w:w="2120"/>
      </w:tblGrid>
      <w:tr>
        <w:trPr>
          <w:tblHeader/>
        </w:trPr>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Bereich</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Status S / Sa / F</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Schicht</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Sprache</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F1</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F2</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F3</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F4</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F5</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ausreichend j / n</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Nachbesserung</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8</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F. Schritt 5: Kennzahlen und Maßnahmen</w:t>
      </w:r>
    </w:p>
    <w:p>
      <w:pPr>
        <w:spacing w:after="140" w:before="0" w:line="300"/>
        <w:jc w:val="both"/>
      </w:pPr>
      <w:r>
        <w:rPr>
          <w:rFonts w:ascii="Aptos" w:cs="Aptos" w:eastAsia="Aptos" w:hAnsi="Aptos"/>
          <w:color w:val="1A1A1A"/>
          <w:sz w:val="21"/>
          <w:szCs w:val="21"/>
        </w:rPr>
        <w:t xml:space="preserve">Eine Nachholschulung schließt eine Abweichung zu 7.3 nur punktuell. Ohne Betreuungssystem wiederholt sie sich bei der nächsten Überwachung.</w:t>
      </w:r>
    </w:p>
    <w:p>
      <w:pPr>
        <w:keepNext/>
        <w:spacing w:after="90" w:before="160"/>
      </w:pPr>
      <w:r>
        <w:rPr>
          <w:rFonts w:ascii="Aptos" w:cs="Aptos" w:eastAsia="Aptos" w:hAnsi="Aptos"/>
          <w:b/>
          <w:bCs/>
          <w:color w:val="5A5A5A"/>
          <w:sz w:val="18"/>
          <w:szCs w:val="18"/>
        </w:rPr>
        <w:t xml:space="preserve">Arbeitsblatt 4: Indikatoren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57"/>
        <w:gridCol w:w="5012"/>
        <w:gridCol w:w="1157"/>
        <w:gridCol w:w="2312"/>
      </w:tblGrid>
      <w:tr>
        <w:trPr>
          <w:tblHeader/>
        </w:trPr>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Bereich</w:t>
            </w:r>
          </w:p>
        </w:tc>
        <w:tc>
          <w:tcPr>
            <w:tcW w:type="dxa" w:w="5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Indikator nach Buch</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Wert</w:t>
            </w:r>
          </w:p>
        </w:tc>
        <w:tc>
          <w:tcPr>
            <w:tcW w:type="dxa" w:w="23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Bewertung</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Anteil Personal mit ausreichendem Ergebnis bei 5 Fragen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Durchgeführte / geplante Beprobungen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Anteil kritischer Lieferanten mit mindestens einer Engagement-Evidenz im Jahr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4</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Abweichung vom geplanten jährlichen Meilenstein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5</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Dokumentierte Tests / aktive Pläne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Querschnitt</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Eingewiesene Fremdkräfte / Fremdkräfte laut Dienstplan (eigener Indikator, nicht im Buch)</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Arbeitsblatt 5: Maßnahmenplan vor dem externen Audit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1060"/>
        <w:gridCol w:w="1638"/>
        <w:gridCol w:w="2120"/>
        <w:gridCol w:w="1060"/>
        <w:gridCol w:w="964"/>
        <w:gridCol w:w="676"/>
      </w:tblGrid>
      <w:tr>
        <w:trPr>
          <w:tblHeader/>
        </w:trPr>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Befund</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Bereich</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Ursache</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Maßnahme</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Verantw.</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Termin</w:t>
            </w:r>
          </w:p>
        </w:tc>
        <w:tc>
          <w:tcPr>
            <w:tcW w:type="dxa" w:w="6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erl.</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ist kein Ersatz für die Norm ISO 14001:2026 und gibt ihren Wortlaut nicht wieder. Es ist keine Rechtsberatung; welche Pflichten für das Haus gelten, ist an der geltenden Fassung zu prüfen. Es ist an das eigene Haus und sein Vulnerabilitätsprofil anzupassen. Rechtsstand ist der 11. Oktober 2026.</w:t>
      </w:r>
    </w:p>
    <w:p>
      <w:pPr>
        <w:spacing w:after="140" w:before="0" w:line="300"/>
        <w:jc w:val="both"/>
      </w:pPr>
      <w:r>
        <w:rPr>
          <w:rFonts w:ascii="Aptos" w:cs="Aptos" w:eastAsia="Aptos" w:hAnsi="Aptos"/>
          <w:i/>
          <w:iCs/>
          <w:color w:val="1A1A1A"/>
          <w:sz w:val="21"/>
          <w:szCs w:val="21"/>
        </w:rPr>
        <w:t xml:space="preserve">Bezug im Buch: Band 1b, Abschnitt 4.6</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1b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2026-10-11T23:08:57.969Z</dcterms:created>
  <dcterms:modified xsi:type="dcterms:W3CDTF">2026-10-11T23:08:57.969Z</dcterms:modified>
</cp:coreProperties>
</file>

<file path=docProps/custom.xml><?xml version="1.0" encoding="utf-8"?>
<Properties xmlns="http://schemas.openxmlformats.org/officeDocument/2006/custom-properties" xmlns:vt="http://schemas.openxmlformats.org/officeDocument/2006/docPropsVTypes"/>
</file>