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1b · ISO 14001:2026</w:t>
      </w:r>
    </w:p>
    <w:p>
      <w:pPr>
        <w:spacing w:after="200"/>
      </w:pPr>
      <w:r>
        <w:rPr>
          <w:rFonts w:ascii="Aptos" w:cs="Aptos" w:eastAsia="Aptos" w:hAnsi="Aptos"/>
          <w:b/>
          <w:bCs/>
          <w:color w:val="8C5A2B"/>
          <w:sz w:val="18"/>
          <w:szCs w:val="18"/>
        </w:rPr>
        <w:t xml:space="preserve">ONLINE-MATERIAL ZU ABSCHNITT 4.9</w:t>
      </w:r>
    </w:p>
    <w:p>
      <w:pPr>
        <w:pStyle w:val="Heading1"/>
        <w:spacing w:after="120" w:line="360"/>
      </w:pPr>
      <w:r>
        <w:rPr>
          <w:rFonts w:ascii="Aptos" w:cs="Aptos" w:eastAsia="Aptos" w:hAnsi="Aptos"/>
          <w:b/>
          <w:bCs/>
          <w:color w:val="002060"/>
          <w:sz w:val="36"/>
          <w:szCs w:val="36"/>
        </w:rPr>
        <w:t xml:space="preserve">Dreijahreszyklus: Kalender und Trajektoriendossier</w:t>
      </w:r>
    </w:p>
    <w:p>
      <w:pPr>
        <w:spacing w:after="200"/>
      </w:pPr>
      <w:r>
        <w:rPr>
          <w:rFonts w:ascii="Aptos" w:cs="Aptos" w:eastAsia="Aptos" w:hAnsi="Aptos"/>
          <w:i/>
          <w:iCs/>
          <w:color w:val="5A5A5A"/>
          <w:sz w:val="22"/>
          <w:szCs w:val="22"/>
        </w:rPr>
        <w:t xml:space="preserve">Planungskalender, Governance-Routinen und Gliederung des Dossiers für die Rezertifizierung, aus Sicht des Hotels</w:t>
      </w:r>
    </w:p>
    <w:p>
      <w:pPr>
        <w:pBdr>
          <w:bottom w:val="single" w:color="C9BBA6" w:sz="6" w:space="4"/>
        </w:pBdr>
        <w:spacing w:after="240"/>
      </w:pPr>
      <w:r>
        <w:rPr>
          <w:rFonts w:ascii="Aptos" w:cs="Aptos" w:eastAsia="Aptos" w:hAnsi="Aptos"/>
          <w:color w:val="5A5A5A"/>
          <w:sz w:val="17"/>
          <w:szCs w:val="17"/>
        </w:rPr>
        <w:t xml:space="preserve">Stand: 11.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Material enthält einen Planungskalender für den Zertifizierungszyklus, Vorlagen für die Governance-Routinen und eine Gliederung des Trajektoriendossiers. Es enthält keine Gebühren oder Benchmarks; die im Buch genannten Kostenwerte sind Modellannahmen und werden hier nicht übernommen.</w:t>
            </w:r>
          </w:p>
        </w:tc>
      </w:tr>
    </w:tbl>
    <w:p>
      <w:pPr>
        <w:spacing w:after="120"/>
      </w:pPr>
    </w:p>
    <w:p>
      <w:pPr>
        <w:keepNext/>
        <w:spacing w:after="120" w:before="280"/>
      </w:pPr>
      <w:r>
        <w:rPr>
          <w:rFonts w:ascii="Aptos" w:cs="Aptos" w:eastAsia="Aptos" w:hAnsi="Aptos"/>
          <w:b/>
          <w:bCs/>
          <w:color w:val="8C5A2B"/>
          <w:sz w:val="26"/>
          <w:szCs w:val="26"/>
        </w:rPr>
        <w:t xml:space="preserve">A. Der Zyklus nach dem Buch</w:t>
      </w:r>
    </w:p>
    <w:p>
      <w:pPr>
        <w:spacing w:after="140" w:before="0" w:line="300"/>
        <w:jc w:val="both"/>
      </w:pPr>
      <w:r>
        <w:rPr>
          <w:rFonts w:ascii="Aptos" w:cs="Aptos" w:eastAsia="Aptos" w:hAnsi="Aptos"/>
          <w:color w:val="1A1A1A"/>
          <w:sz w:val="21"/>
          <w:szCs w:val="21"/>
        </w:rPr>
        <w:t xml:space="preserve">Nach dem Buch regelt die ISO/IEC 17021-1:2015 den Zertifizierungszyklus. Überwachungsaudits finden mindestens einmal je Kalenderjahr statt, ausgenommen das Jahr der Rezertifizierung. Die erste Überwachung erfolgt nicht später als zwölf Monate nach der Zertifizierungsentscheidung.</w:t>
      </w:r>
    </w:p>
    <w:p>
      <w:pPr>
        <w:keepNext/>
        <w:spacing w:after="90" w:before="160"/>
      </w:pPr>
      <w:r>
        <w:rPr>
          <w:rFonts w:ascii="Aptos" w:cs="Aptos" w:eastAsia="Aptos" w:hAnsi="Aptos"/>
          <w:b/>
          <w:bCs/>
          <w:color w:val="5A5A5A"/>
          <w:sz w:val="18"/>
          <w:szCs w:val="18"/>
        </w:rPr>
        <w:t xml:space="preserve">Arbeitsblatt 1: Überwachung und Rezertifizierung (nach Tabelle 24 des Buches)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38"/>
        <w:gridCol w:w="2988"/>
        <w:gridCol w:w="2988"/>
        <w:gridCol w:w="2024"/>
      </w:tblGrid>
      <w:tr>
        <w:trPr>
          <w:tblHeader/>
        </w:trPr>
        <w:tc>
          <w:tcPr>
            <w:tcW w:type="dxa" w:w="163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Merkmal</w:t>
            </w:r>
          </w:p>
        </w:tc>
        <w:tc>
          <w:tcPr>
            <w:tcW w:type="dxa" w:w="29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Überwachungsaudit</w:t>
            </w:r>
          </w:p>
        </w:tc>
        <w:tc>
          <w:tcPr>
            <w:tcW w:type="dxa" w:w="298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Rezertifizierungsaudit</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Unser Haus</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Zeitpunkt</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Mindestens einmal je Kalenderjahr, außer im Rezertifizierungsjahr; erste spätestens 12 Monate nach der Erstzertifizierungsentscheidung</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Am Ende des Dreijahreszyklus</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Zertifizierungsentscheidung am: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Umfang</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Nach dem Auditprogramm; kein allgemeiner Prozentsatz der Systemabdeckung</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Fortdauernde Erfüllung aller Anforderungen und Wirksamkeit insgesamt</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Auditprogramm der Stelle liegt vor: j / n</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Prüfgegenstand</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Interne Audits und Managementbewertung, Maßnahmen zu früheren Nichtkonformitäten, Beschwerden, Zielerreichung, Änderungen, operative Steuerung, Nutzung des Zertifizierungszeichens</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Relevanz des Zertifizierungsbereichs, Funktionieren bei veränderten Kontextbedingungen, Beitrag zu Politik und Zielen, Engagement für Wirksamkeit und Verbesserung; Trajektorie seit der Erstzertifizierung</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63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Vorbereitung</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Fokus auf die fünf kritischen Hotelbereiche, frühere Befunde und die von der Stelle mitgeteilten Prioritätsklauseln</w:t>
            </w:r>
          </w:p>
        </w:tc>
        <w:tc>
          <w:tcPr>
            <w:tcW w:type="dxa" w:w="298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Eigenes Projekt mit sechs Monaten Vorlauf</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Übergang zur Ausgabe 2026 </w:t>
            </w:r>
            <w:r>
              <w:rPr>
                <w:rFonts w:ascii="Aptos" w:cs="Aptos" w:eastAsia="Aptos" w:hAnsi="Aptos"/>
                <w:color w:val="1A1A1A"/>
                <w:sz w:val="21"/>
                <w:szCs w:val="21"/>
              </w:rPr>
              <w:t xml:space="preserve">Zertifikate nach ISO 14001:2015 verlieren nach dem Buch am 30. April 2029 ihre Gültigkeit. Fällt Ihre Rezertifizierung in den Übergangszeitraum, lässt sich die Umstellung in der Regel mit ihr verbinden. Das klärt das Hotel frühzeitig mit seiner Stelle. Neu zu prüfen sind etwa 6.1.4 (Risiken und Chancen) und 6.3 (Planung von Änderungen).</w:t>
            </w:r>
          </w:p>
        </w:tc>
      </w:tr>
    </w:tbl>
    <w:p>
      <w:pPr>
        <w:spacing w:after="120"/>
      </w:pPr>
    </w:p>
    <w:p>
      <w:pPr>
        <w:keepNext/>
        <w:spacing w:after="120" w:before="280"/>
      </w:pPr>
      <w:r>
        <w:rPr>
          <w:rFonts w:ascii="Aptos" w:cs="Aptos" w:eastAsia="Aptos" w:hAnsi="Aptos"/>
          <w:b/>
          <w:bCs/>
          <w:color w:val="8C5A2B"/>
          <w:sz w:val="26"/>
          <w:szCs w:val="26"/>
        </w:rPr>
        <w:t xml:space="preserve">B. Planungskalender für drei Jahre</w:t>
      </w:r>
    </w:p>
    <w:p>
      <w:pPr>
        <w:spacing w:after="140" w:before="0" w:line="300"/>
        <w:jc w:val="both"/>
      </w:pPr>
      <w:r>
        <w:rPr>
          <w:rFonts w:ascii="Aptos" w:cs="Aptos" w:eastAsia="Aptos" w:hAnsi="Aptos"/>
          <w:color w:val="1A1A1A"/>
          <w:sz w:val="21"/>
          <w:szCs w:val="21"/>
        </w:rPr>
        <w:t xml:space="preserve">Jedes Jahr folgt einem PDCA-Schema: Managementbewertung zur Planung, internes Audit, externe Überwachung, Managementbewertung zur Jahresbewertung. Das Buch nennt als Beispiel einen typischen Kalender bei Sommerzertifizierung im Juli und August.</w:t>
      </w:r>
    </w:p>
    <w:p>
      <w:pPr>
        <w:keepNext/>
        <w:spacing w:after="90" w:before="160"/>
      </w:pPr>
      <w:r>
        <w:rPr>
          <w:rFonts w:ascii="Aptos" w:cs="Aptos" w:eastAsia="Aptos" w:hAnsi="Aptos"/>
          <w:b/>
          <w:bCs/>
          <w:color w:val="5A5A5A"/>
          <w:sz w:val="18"/>
          <w:szCs w:val="18"/>
        </w:rPr>
        <w:t xml:space="preserve">Beispiel aus dem Buch (Kompositfall, anzupassen): Sommerzertifizierung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5"/>
        <w:gridCol w:w="2410"/>
        <w:gridCol w:w="2313"/>
        <w:gridCol w:w="2313"/>
        <w:gridCol w:w="1927"/>
      </w:tblGrid>
      <w:tr>
        <w:trPr>
          <w:tblHeader/>
        </w:trPr>
        <w:tc>
          <w:tcPr>
            <w:tcW w:type="dxa" w:w="67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w:t>
            </w:r>
          </w:p>
        </w:tc>
        <w:tc>
          <w:tcPr>
            <w:tcW w:type="dxa" w:w="241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Managementbewertung (Planung)</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Internes Audit</w:t>
            </w:r>
          </w:p>
        </w:tc>
        <w:tc>
          <w:tcPr>
            <w:tcW w:type="dxa" w:w="23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Externes Audit</w:t>
            </w:r>
          </w:p>
        </w:tc>
        <w:tc>
          <w:tcPr>
            <w:tcW w:type="dxa" w:w="192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Managementbewertung (Bewertung)</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März</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Mai bis Juni</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Erste Überwachung im Juli</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Dezember</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März</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Mai bis Juni</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Zweite Überwachung im Juli</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Dezember</w:t>
            </w:r>
          </w:p>
        </w:tc>
      </w:tr>
      <w:tr>
        <w:trPr>
          <w:cantSplit/>
        </w:trPr>
        <w:tc>
          <w:tcPr>
            <w:tcW w:type="dxa" w:w="67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241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März, mit Rezertifizierungsplanung</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Vollständig, April bis Mai, auf die Rezertifizierung ausgerichtet</w:t>
            </w:r>
          </w:p>
        </w:tc>
        <w:tc>
          <w:tcPr>
            <w:tcW w:type="dxa" w:w="23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Rezertifizierung Juli bis August; Dossier im Juni</w:t>
            </w:r>
          </w:p>
        </w:tc>
        <w:tc>
          <w:tcPr>
            <w:tcW w:type="dxa" w:w="192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nach dem Audit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Achtung Vorlauf </w:t>
            </w:r>
            <w:r>
              <w:rPr>
                <w:rFonts w:ascii="Aptos" w:cs="Aptos" w:eastAsia="Aptos" w:hAnsi="Aptos"/>
                <w:color w:val="1A1A1A"/>
                <w:sz w:val="21"/>
                <w:szCs w:val="21"/>
              </w:rPr>
              <w:t xml:space="preserve">Das Buch verlangt für die Rezertifizierung sechs Monate Vorlauf. Bei einem Audit im Juli beginnt das Projekt deshalb spätestens im Januar. Planen Sie rückwärts vom Audittermin, nicht vorwärts vom Juni.</w:t>
            </w:r>
          </w:p>
        </w:tc>
      </w:tr>
    </w:tbl>
    <w:p>
      <w:pPr>
        <w:spacing w:after="120"/>
      </w:pPr>
    </w:p>
    <w:p>
      <w:pPr>
        <w:spacing w:after="140" w:before="0" w:line="300"/>
        <w:jc w:val="both"/>
      </w:pPr>
      <w:r>
        <w:rPr>
          <w:rFonts w:ascii="Aptos" w:cs="Aptos" w:eastAsia="Aptos" w:hAnsi="Aptos"/>
          <w:color w:val="1A1A1A"/>
          <w:sz w:val="21"/>
          <w:szCs w:val="21"/>
        </w:rPr>
        <w:t xml:space="preserve">Tragen Sie Ihre eigenen Termine ein. Markieren Sie Saisonspitzen und Zeiten, in denen Schlüsselpersonen fehlen. Überwachungen stimmen Sie nach dem Buch mit mindestens sechs Monaten Vorlauf mit der Stelle ab.</w:t>
      </w:r>
    </w:p>
    <w:p>
      <w:pPr>
        <w:keepNext/>
        <w:spacing w:after="90" w:before="160"/>
      </w:pPr>
      <w:r>
        <w:rPr>
          <w:rFonts w:ascii="Aptos" w:cs="Aptos" w:eastAsia="Aptos" w:hAnsi="Aptos"/>
          <w:b/>
          <w:bCs/>
          <w:color w:val="5A5A5A"/>
          <w:sz w:val="18"/>
          <w:szCs w:val="18"/>
        </w:rPr>
        <w:t xml:space="preserve">Arbeitsblatt 2: Dreijahreskalender des Hauses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77"/>
        <w:gridCol w:w="1060"/>
        <w:gridCol w:w="1060"/>
        <w:gridCol w:w="1060"/>
        <w:gridCol w:w="1060"/>
        <w:gridCol w:w="1060"/>
        <w:gridCol w:w="1061"/>
      </w:tblGrid>
      <w:tr>
        <w:trPr>
          <w:tblHeader/>
        </w:trPr>
        <w:tc>
          <w:tcPr>
            <w:tcW w:type="dxa" w:w="327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Aktivität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1 geplant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1 erledigt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2 geplant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2 erledigt</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3 geplant</w:t>
            </w:r>
          </w:p>
        </w:tc>
        <w:tc>
          <w:tcPr>
            <w:tcW w:type="dxa" w:w="106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3 erledigt</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Managementbewertung Planung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Aktualisierung Konformitätspflichtregister (1. Halbjahr)</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Internes Audit</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Abstimmung Auditplan mit der Stelle</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Externes Audit (Überwachung oder Rezertifizierung)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Abschluss und Wirksamkeitsprüfung der Maßnahmen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Aktualisierung Konformitätspflichtregister (2. Halbjahr)</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Managementbewertung Jahresbewertung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27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Saisonspitzen und Sperrzeiten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06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3: Rückwärtsplanung der Rezertifizierung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1735"/>
        <w:gridCol w:w="1542"/>
        <w:gridCol w:w="1928"/>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Schritt</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Abstand zum Audit</w:t>
            </w:r>
          </w:p>
        </w:tc>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Verantwortlich</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Projektstart Rezertifizierung</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6 Monate vorher</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Vollständiges internes Audit auf die Rezertifizierung ausgerichtet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Aktualisierung der gesamten Systemdokumentation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Aufbau des Trajektoriendossiers (Teil E)</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Schließen erkannter Lücken</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Auditplan geprüft: Saison, Gesprächspartner im Haus</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Rezertifizierungsaudit</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0</w:t>
            </w:r>
          </w:p>
        </w:tc>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Governance-Routinen zwischen den Audits</w:t>
      </w:r>
    </w:p>
    <w:p>
      <w:pPr>
        <w:spacing w:after="140" w:before="0" w:line="300"/>
        <w:jc w:val="both"/>
      </w:pPr>
      <w:r>
        <w:rPr>
          <w:rFonts w:ascii="Aptos" w:cs="Aptos" w:eastAsia="Aptos" w:hAnsi="Aptos"/>
          <w:color w:val="1A1A1A"/>
          <w:sz w:val="21"/>
          <w:szCs w:val="21"/>
        </w:rPr>
        <w:t xml:space="preserve">Ohne feste Routinen sinkt die Managementaufmerksamkeit nach dem Stage-2-Audit. Das Buch nennt drei Mechanismen. Der Verfall beginnt meist damit, das Monatskomitee auf vierteljährlich zu reduzieren.</w:t>
      </w:r>
    </w:p>
    <w:p>
      <w:pPr>
        <w:pStyle w:val="ListParagraph"/>
        <w:numPr>
          <w:ilvl w:val="0"/>
          <w:numId w:val="2"/>
        </w:numPr>
        <w:spacing w:after="70" w:line="290"/>
        <w:jc w:val="left"/>
      </w:pPr>
      <w:r>
        <w:rPr>
          <w:rFonts w:ascii="Aptos" w:cs="Aptos" w:eastAsia="Aptos" w:hAnsi="Aptos"/>
          <w:b/>
          <w:bCs/>
          <w:color w:val="1A1A1A"/>
          <w:sz w:val="21"/>
          <w:szCs w:val="21"/>
        </w:rPr>
        <w:t xml:space="preserve">Monatliches Nachhaltigkeitskomitee:</w:t>
      </w:r>
      <w:r>
        <w:rPr>
          <w:rFonts w:ascii="Aptos" w:cs="Aptos" w:eastAsia="Aptos" w:hAnsi="Aptos"/>
          <w:color w:val="1A1A1A"/>
          <w:sz w:val="21"/>
          <w:szCs w:val="21"/>
        </w:rPr>
        <w:t xml:space="preserve"> dreißig Minuten, feste Agenda: Kennzahlen-Status, offene Korrekturmaßnahmen, relevante Ereignisse.</w:t>
      </w:r>
    </w:p>
    <w:p>
      <w:pPr>
        <w:pStyle w:val="ListParagraph"/>
        <w:numPr>
          <w:ilvl w:val="0"/>
          <w:numId w:val="2"/>
        </w:numPr>
        <w:spacing w:after="70" w:line="290"/>
        <w:jc w:val="left"/>
      </w:pPr>
      <w:r>
        <w:rPr>
          <w:rFonts w:ascii="Aptos" w:cs="Aptos" w:eastAsia="Aptos" w:hAnsi="Aptos"/>
          <w:b/>
          <w:bCs/>
          <w:color w:val="1A1A1A"/>
          <w:sz w:val="21"/>
          <w:szCs w:val="21"/>
        </w:rPr>
        <w:t xml:space="preserve">Monatliches Kennzahlen-Dashboard:</w:t>
      </w:r>
      <w:r>
        <w:rPr>
          <w:rFonts w:ascii="Aptos" w:cs="Aptos" w:eastAsia="Aptos" w:hAnsi="Aptos"/>
          <w:color w:val="1A1A1A"/>
          <w:sz w:val="21"/>
          <w:szCs w:val="21"/>
        </w:rPr>
        <w:t xml:space="preserve"> eine Seite mit den Schlüsselindikatoren, mit Vorjahresvergleich und Trajektorie.</w:t>
      </w:r>
    </w:p>
    <w:p>
      <w:pPr>
        <w:pStyle w:val="ListParagraph"/>
        <w:numPr>
          <w:ilvl w:val="0"/>
          <w:numId w:val="2"/>
        </w:numPr>
        <w:spacing w:after="70" w:line="290"/>
        <w:jc w:val="left"/>
      </w:pPr>
      <w:r>
        <w:rPr>
          <w:rFonts w:ascii="Aptos" w:cs="Aptos" w:eastAsia="Aptos" w:hAnsi="Aptos"/>
          <w:b/>
          <w:bCs/>
          <w:color w:val="1A1A1A"/>
          <w:sz w:val="21"/>
          <w:szCs w:val="21"/>
        </w:rPr>
        <w:t xml:space="preserve">Vierteljährliche Bereichskommunikation:</w:t>
      </w:r>
      <w:r>
        <w:rPr>
          <w:rFonts w:ascii="Aptos" w:cs="Aptos" w:eastAsia="Aptos" w:hAnsi="Aptos"/>
          <w:color w:val="1A1A1A"/>
          <w:sz w:val="21"/>
          <w:szCs w:val="21"/>
        </w:rPr>
        <w:t xml:space="preserve"> eine Seite pro Bereich mit Quartalsergebnissen, abgeschlossenen und geplanten Maßnahmen.</w:t>
      </w:r>
    </w:p>
    <w:p>
      <w:pPr>
        <w:spacing w:after="140" w:before="0" w:line="300"/>
        <w:jc w:val="both"/>
      </w:pPr>
      <w:r>
        <w:rPr>
          <w:rFonts w:ascii="Aptos" w:cs="Aptos" w:eastAsia="Aptos" w:hAnsi="Aptos"/>
          <w:color w:val="1A1A1A"/>
          <w:sz w:val="21"/>
          <w:szCs w:val="21"/>
        </w:rPr>
        <w:t xml:space="preserve">Zur Abstimmung nennt das Buch: in Deutschland die Gefährdungsbeurteilung nach ArbSchG, in Österreich den Sicherheitsausschuss nach ASchG, in der Schweiz die Gremien eines vorhandenen ISO-9001-Systems.</w:t>
      </w:r>
    </w:p>
    <w:p>
      <w:pPr>
        <w:keepNext/>
        <w:spacing w:after="90" w:before="160"/>
      </w:pPr>
      <w:r>
        <w:rPr>
          <w:rFonts w:ascii="Aptos" w:cs="Aptos" w:eastAsia="Aptos" w:hAnsi="Aptos"/>
          <w:b/>
          <w:bCs/>
          <w:color w:val="5A5A5A"/>
          <w:sz w:val="18"/>
          <w:szCs w:val="18"/>
        </w:rPr>
        <w:t xml:space="preserve">Arbeitsblatt 4: Komitee-Nachweis für ein Jahr (Teilnahmequote = Indikator der Governance)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964"/>
        <w:gridCol w:w="1735"/>
        <w:gridCol w:w="1349"/>
        <w:gridCol w:w="1349"/>
        <w:gridCol w:w="1349"/>
        <w:gridCol w:w="2121"/>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Monat</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Datum</w:t>
            </w:r>
          </w:p>
        </w:tc>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Teilnehmende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Kennzahlen besprochen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Offene Maßnahmen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Ereignisse</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Beschlüsse</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Jan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Feb</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Mär</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Apr</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Mai</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Jun</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Jul</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Aug</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Sep</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Okt</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Nov</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Dez</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5: Kennzahlenreihe über den Zyklus (Indikatoren nach Buch)</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6"/>
        <w:gridCol w:w="1157"/>
        <w:gridCol w:w="1157"/>
        <w:gridCol w:w="1157"/>
        <w:gridCol w:w="1157"/>
        <w:gridCol w:w="1349"/>
        <w:gridCol w:w="1155"/>
      </w:tblGrid>
      <w:tr>
        <w:trPr>
          <w:tblHeader/>
        </w:trPr>
        <w:tc>
          <w:tcPr>
            <w:tcW w:type="dxa" w:w="250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Indikator</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Baseline</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1</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2</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Jahr 3</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Meilenstein Jahr 3</w:t>
            </w:r>
          </w:p>
        </w:tc>
        <w:tc>
          <w:tcPr>
            <w:tcW w:type="dxa" w:w="11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Abweichung</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kWh / Übernachtung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Liter / Übernachtung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kg Abfall / Übernachtung</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Lebensmittelabfall g / Mahlzeit</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Trennquote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50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Weitere: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Wechselt die Messmethode, dokumentieren Sie den Grund. Fehlende Werte dürfen geschätzt werden, wenn die Schätzung gekennzeichnet und methodisch begründet ist. Verborgene Schätzungen beschädigen nach dem Buch das Vertrauen in die gesamte Datenreihe.</w:t>
      </w:r>
    </w:p>
    <w:p>
      <w:pPr>
        <w:keepNext/>
        <w:spacing w:after="120" w:before="280"/>
      </w:pPr>
      <w:r>
        <w:rPr>
          <w:rFonts w:ascii="Aptos" w:cs="Aptos" w:eastAsia="Aptos" w:hAnsi="Aptos"/>
          <w:b/>
          <w:bCs/>
          <w:color w:val="8C5A2B"/>
          <w:sz w:val="26"/>
          <w:szCs w:val="26"/>
        </w:rPr>
        <w:t xml:space="preserve">D. Übergabeprotokoll bei Personalwechsel</w:t>
      </w:r>
    </w:p>
    <w:p>
      <w:pPr>
        <w:spacing w:after="140" w:before="0" w:line="300"/>
        <w:jc w:val="both"/>
      </w:pPr>
      <w:r>
        <w:rPr>
          <w:rFonts w:ascii="Aptos" w:cs="Aptos" w:eastAsia="Aptos" w:hAnsi="Aptos"/>
          <w:color w:val="1A1A1A"/>
          <w:sz w:val="21"/>
          <w:szCs w:val="21"/>
        </w:rPr>
        <w:t xml:space="preserve">Das System speichert Ergebnisse, aber selten Begründungen. Ein Nachfolger vereinfacht dann in gutem Glauben ein Verfahren, dessen Anlass er nicht kennt. Die Stelle wertet das als unwirksame Korrekturmaßnahme, nicht als neuen Fehler.</w:t>
      </w:r>
    </w:p>
    <w:p>
      <w:pPr>
        <w:keepNext/>
        <w:spacing w:after="90" w:before="160"/>
      </w:pPr>
      <w:r>
        <w:rPr>
          <w:rFonts w:ascii="Aptos" w:cs="Aptos" w:eastAsia="Aptos" w:hAnsi="Aptos"/>
          <w:b/>
          <w:bCs/>
          <w:color w:val="5A5A5A"/>
          <w:sz w:val="18"/>
          <w:szCs w:val="18"/>
        </w:rPr>
        <w:t xml:space="preserve">Arbeitsblatt 6: Übergabe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62"/>
        <w:gridCol w:w="5976"/>
      </w:tblGrid>
      <w:tr>
        <w:trPr>
          <w:tblHeader/>
        </w:trPr>
        <w:tc>
          <w:tcPr>
            <w:tcW w:type="dxa" w:w="366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Bereich / Funktion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Abgebende Person, Datum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Übernehmende Person, Datum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Ziele des Bereichs mit Stand</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Offene Maßnahmen und Korrekturmaßnahmen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Bindende Verpflichtungen des Bereichs</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Bestehende Kontrollen und ihr Anlass (Befund, Datum)</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Laufende Messreihen, Methoden, regelmäßig anzufordernde Unterlagen Dritter</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6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Bestätigung der Umweltbeauftragten</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E. Gliederung des Trajektoriendossiers</w:t>
      </w:r>
    </w:p>
    <w:p>
      <w:pPr>
        <w:spacing w:after="140" w:before="0" w:line="300"/>
        <w:jc w:val="both"/>
      </w:pPr>
      <w:r>
        <w:rPr>
          <w:rFonts w:ascii="Aptos" w:cs="Aptos" w:eastAsia="Aptos" w:hAnsi="Aptos"/>
          <w:color w:val="1A1A1A"/>
          <w:sz w:val="21"/>
          <w:szCs w:val="21"/>
        </w:rPr>
        <w:t xml:space="preserve">Das Dossier zeigt dem Rezertifizierungsauditor den Weg, nicht nur den Stand am Audittag. Es entsteht nicht in drei Wochen. Der Auditor verfolgt zudem frühere Befunde bis heute; bricht dieser Audit Trail ab, zählt die Lücke mehr als jedes gut gestaltete Dossier.</w:t>
      </w:r>
    </w:p>
    <w:p>
      <w:pPr>
        <w:keepNext/>
        <w:spacing w:after="90" w:before="160"/>
      </w:pPr>
      <w:r>
        <w:rPr>
          <w:rFonts w:ascii="Aptos" w:cs="Aptos" w:eastAsia="Aptos" w:hAnsi="Aptos"/>
          <w:b/>
          <w:bCs/>
          <w:color w:val="5A5A5A"/>
          <w:sz w:val="18"/>
          <w:szCs w:val="18"/>
        </w:rPr>
        <w:t xml:space="preserve">Arbeitsblatt 7a: Inhaltsverzeichnis des Dossiers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0"/>
        <w:gridCol w:w="4433"/>
        <w:gridCol w:w="1928"/>
        <w:gridCol w:w="1157"/>
      </w:tblGrid>
      <w:tr>
        <w:trPr>
          <w:tblHeader/>
        </w:trPr>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Teil</w:t>
            </w:r>
          </w:p>
        </w:tc>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Inhalt nach Buch</w:t>
            </w:r>
          </w:p>
        </w:tc>
        <w:tc>
          <w:tcPr>
            <w:tcW w:type="dxa" w:w="192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Quelle im System</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vorhanden j / n</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 Kennzahlen</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Kennzahlentabelle je Jahr mit Vergleich zu Baseline und Trajektorie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Arbeitsblatt 5, Dashboards</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 · Befunde</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Synthese der Nichtkonformitäten im Zyklus: Zahl, Einstufung, Wiederholungen, Qualität der Ursachenanalyse</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Arbeitsblatt 7</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 Systementwicklung</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Strukturelle Eingriffe des Zyklus, etwa Lieferantenprogramm oder Bereichsreferenten</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Managementbewertungen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 · Systemreife</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Bewertung mit den sechs Diagnosetests aus Abschnitt 3.10</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Arbeitsblatt 8</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 · Management­bewertungen</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Kennzahlenreihe, Beschlüsse und deren Nachverfolgung</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Protokolle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6 · Datenqualität</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Lücken, gekennzeichnete Schätzungen, begründete Methodenwechsel</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Messprotokolle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7 · Umstellung 2026</w:t>
            </w:r>
          </w:p>
        </w:tc>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Stand zu 6.1.4 und 6.3, falls die Umstellung mit der Rezertifizierung verbunden wird</w:t>
            </w:r>
          </w:p>
        </w:tc>
        <w:tc>
          <w:tcPr>
            <w:tcW w:type="dxa" w:w="192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Projektplan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7: Audit Trail der Befunde über drei Jahre (Einstufung nach ISO/IEC 17021-1; «Beobachtung» ist Praxis der Stellen, keine Kategorie der Norm)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42"/>
        <w:gridCol w:w="771"/>
        <w:gridCol w:w="964"/>
        <w:gridCol w:w="1349"/>
        <w:gridCol w:w="1349"/>
        <w:gridCol w:w="964"/>
        <w:gridCol w:w="1349"/>
        <w:gridCol w:w="1350"/>
      </w:tblGrid>
      <w:tr>
        <w:trPr>
          <w:tblHeader/>
        </w:trPr>
        <w:tc>
          <w:tcPr>
            <w:tcW w:type="dxa" w:w="15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Befund (Audit, Datum)</w:t>
            </w:r>
          </w:p>
        </w:tc>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Klausel</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leicht / schwer / Beob.</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Ursache</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Maßnahme</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Abschluss</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Wirksamkeit geprüft</w:t>
            </w:r>
          </w:p>
        </w:tc>
        <w:tc>
          <w:tcPr>
            <w:tcW w:type="dxa" w:w="135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6"/>
                <w:szCs w:val="16"/>
              </w:rPr>
              <w:t xml:space="preserve">heutiger Stand</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r>
        <w:trPr>
          <w:cantSplit/>
        </w:trPr>
        <w:tc>
          <w:tcPr>
            <w:tcW w:type="dxa" w:w="15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6"/>
                <w:szCs w:val="16"/>
              </w:rPr>
              <w:t xml:space="preserve"> </w:t>
            </w:r>
          </w:p>
        </w:tc>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c>
          <w:tcPr>
            <w:tcW w:type="dxa" w:w="135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6"/>
                <w:szCs w:val="16"/>
              </w:rPr>
              <w:t xml:space="preserve"> </w:t>
            </w:r>
          </w:p>
        </w:tc>
      </w:tr>
    </w:tbl>
    <w:p>
      <w:pPr>
        <w:spacing w:after="140"/>
      </w:pPr>
    </w:p>
    <w:p>
      <w:pPr>
        <w:keepNext/>
        <w:spacing w:after="90" w:before="160"/>
      </w:pPr>
      <w:r>
        <w:rPr>
          <w:rFonts w:ascii="Aptos" w:cs="Aptos" w:eastAsia="Aptos" w:hAnsi="Aptos"/>
          <w:b/>
          <w:bCs/>
          <w:color w:val="5A5A5A"/>
          <w:sz w:val="18"/>
          <w:szCs w:val="18"/>
        </w:rPr>
        <w:t xml:space="preserve">Arbeitsblatt 8: Systemreife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2"/>
        <w:gridCol w:w="3373"/>
        <w:gridCol w:w="2024"/>
        <w:gridCol w:w="1639"/>
      </w:tblGrid>
      <w:tr>
        <w:trPr>
          <w:tblHeader/>
        </w:trPr>
        <w:tc>
          <w:tcPr>
            <w:tcW w:type="dxa" w:w="260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Diagnosetest (Abschnitt 3.10)</w:t>
            </w:r>
          </w:p>
        </w:tc>
        <w:tc>
          <w:tcPr>
            <w:tcW w:type="dxa" w:w="337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Vorgehen</w:t>
            </w:r>
          </w:p>
        </w:tc>
        <w:tc>
          <w:tcPr>
            <w:tcW w:type="dxa" w:w="2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Befund im Haus</w:t>
            </w:r>
          </w:p>
        </w:tc>
        <w:tc>
          <w:tcPr>
            <w:tcW w:type="dxa" w:w="163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 · Ziel-Rückverfolgbarkeit</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 Ziel durch die Klauseln 6.2, 7.1, 7.3, 8.1, 9.1 und 9.3 verfolgen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 · Trennung Ergebnisse-System</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Verbrauchskurve gegen den Kalender technischer Eingriffe legen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 · Anomalie-Reaktion</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Den Weg einer Anomalie nach dem Monatsbericht verfolgen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 · Wissensverteilung</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Interviewergebnisse nach Ebenen aggregieren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 · Widerstand gegen Veränderungen</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Akzeptanz eingeführter Verfahren und Maßnahmen prüfen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0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6 · Verhaltensbeständigkeit</w:t>
            </w:r>
          </w:p>
        </w:tc>
        <w:tc>
          <w:tcPr>
            <w:tcW w:type="dxa" w:w="337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Anwendung der Verfahren unter nicht beobachteten Bedingungen beurteilen</w:t>
            </w:r>
          </w:p>
        </w:tc>
        <w:tc>
          <w:tcPr>
            <w:tcW w:type="dxa" w:w="2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63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F. Vorbereitung der Bereiche und Umgang mit Befunden</w:t>
      </w:r>
    </w:p>
    <w:p>
      <w:pPr>
        <w:spacing w:after="140" w:before="0" w:line="300"/>
        <w:jc w:val="both"/>
      </w:pPr>
      <w:r>
        <w:rPr>
          <w:rFonts w:ascii="Aptos" w:cs="Aptos" w:eastAsia="Aptos" w:hAnsi="Aptos"/>
          <w:color w:val="1A1A1A"/>
          <w:sz w:val="21"/>
          <w:szCs w:val="21"/>
        </w:rPr>
        <w:t xml:space="preserve">Das Buch beschreibt, was die Rezertifizierung in den Bereichen typischerweise prüft. Das ist gute Prüfpraxis, keine Pflichtliste der Norm.</w:t>
      </w:r>
    </w:p>
    <w:p>
      <w:pPr>
        <w:keepNext/>
        <w:spacing w:after="90" w:before="160"/>
      </w:pPr>
      <w:r>
        <w:rPr>
          <w:rFonts w:ascii="Aptos" w:cs="Aptos" w:eastAsia="Aptos" w:hAnsi="Aptos"/>
          <w:b/>
          <w:bCs/>
          <w:color w:val="5A5A5A"/>
          <w:sz w:val="18"/>
          <w:szCs w:val="18"/>
        </w:rPr>
        <w:t xml:space="preserve">Arbeitsblatt 9: Bereitschaft der Bereiche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3855"/>
        <w:gridCol w:w="2891"/>
        <w:gridCol w:w="1157"/>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Bereich</w:t>
            </w:r>
          </w:p>
        </w:tc>
        <w:tc>
          <w:tcPr>
            <w:tcW w:type="dxa" w:w="385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Typische Prüffrage</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Nachweis</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bereit j / n</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Direktion</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Wie hat sich die Umweltleistung entwickelt, was hat die Managementbewertung daraus abgeleitet?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Drei Managementbewertungen mit Beschlüssen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Rezeption</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Stimmen Gästeinformationen mit den aktuellen Systemdaten überein?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Gästeinformation, Freigabevermerk</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Housekeeping</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Gelten Regeln zu Wäschewechsel und Reinigungsmitteln auch nach Personalwechseln?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Einarbeitungsnachweise, Verbrauchsdaten</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Küche</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Ist der vermeidbare Lebensmittelabfall drei Jahre mit derselben Methode gemessen?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Messprotokolle, Begründung bei Wechsel</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Technik</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Sind Wartung, Dichtheitskontrollen und Zählerablesungen lückenlos, auch in der Hochsaison?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Wartungsplan, Prüf- und Zählerprotokolle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Spa und Pool</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Sind Wasseraufbereitung und Chemikalienlagerung unverändert sicher geregelt?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Betriebstagebuch, Lagerliste</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Einkauf</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Hat das Lieferantenprogramm an Tiefe gewonnen?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Bewertungen im Zeitvergleich</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Umweltbeauftragte</w:t>
            </w:r>
          </w:p>
        </w:tc>
        <w:tc>
          <w:tcPr>
            <w:tcW w:type="dxa" w:w="385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Sind alle Abweichungen geschlossen und auf Wirksamkeit geprüft?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Maßnahmenliste mit Wirksamkeitsvermerk</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200"/>
      </w:pPr>
      <w:r>
        <w:rPr>
          <w:rFonts w:ascii="Aptos" w:cs="Aptos" w:eastAsia="Aptos" w:hAnsi="Aptos"/>
          <w:b/>
          <w:bCs/>
          <w:color w:val="002060"/>
          <w:sz w:val="22"/>
          <w:szCs w:val="22"/>
        </w:rPr>
        <w:t xml:space="preserve">Wenn die Einstufung eines Befundes strittig ist</w:t>
      </w:r>
    </w:p>
    <w:p>
      <w:pPr>
        <w:pStyle w:val="ListParagraph"/>
        <w:numPr>
          <w:ilvl w:val="0"/>
          <w:numId w:val="3"/>
        </w:numPr>
        <w:spacing w:after="70" w:line="290"/>
        <w:jc w:val="left"/>
      </w:pPr>
      <w:r>
        <w:rPr>
          <w:rFonts w:ascii="Aptos" w:cs="Aptos" w:eastAsia="Aptos" w:hAnsi="Aptos"/>
          <w:color w:val="1A1A1A"/>
          <w:sz w:val="21"/>
          <w:szCs w:val="21"/>
        </w:rPr>
        <w:t xml:space="preserve">Nach der Anforderung fragen, auf die sich der Befund stützt.</w:t>
      </w:r>
    </w:p>
    <w:p>
      <w:pPr>
        <w:pStyle w:val="ListParagraph"/>
        <w:numPr>
          <w:ilvl w:val="0"/>
          <w:numId w:val="3"/>
        </w:numPr>
        <w:spacing w:after="70" w:line="290"/>
        <w:jc w:val="left"/>
      </w:pPr>
      <w:r>
        <w:rPr>
          <w:rFonts w:ascii="Aptos" w:cs="Aptos" w:eastAsia="Aptos" w:hAnsi="Aptos"/>
          <w:color w:val="1A1A1A"/>
          <w:sz w:val="21"/>
          <w:szCs w:val="21"/>
        </w:rPr>
        <w:t xml:space="preserve">Nach dem konkreten Nachweis fragen.</w:t>
      </w:r>
    </w:p>
    <w:p>
      <w:pPr>
        <w:pStyle w:val="ListParagraph"/>
        <w:numPr>
          <w:ilvl w:val="0"/>
          <w:numId w:val="3"/>
        </w:numPr>
        <w:spacing w:after="70" w:line="290"/>
        <w:jc w:val="left"/>
      </w:pPr>
      <w:r>
        <w:rPr>
          <w:rFonts w:ascii="Aptos" w:cs="Aptos" w:eastAsia="Aptos" w:hAnsi="Aptos"/>
          <w:color w:val="1A1A1A"/>
          <w:sz w:val="21"/>
          <w:szCs w:val="21"/>
        </w:rPr>
        <w:t xml:space="preserve">Fehlt aus Sicht des Hotels ein Beleg, ihn noch während des Audits vorlegen.</w:t>
      </w:r>
    </w:p>
    <w:p>
      <w:pPr>
        <w:pStyle w:val="ListParagraph"/>
        <w:numPr>
          <w:ilvl w:val="0"/>
          <w:numId w:val="3"/>
        </w:numPr>
        <w:spacing w:after="70" w:line="290"/>
        <w:jc w:val="left"/>
      </w:pPr>
      <w:r>
        <w:rPr>
          <w:rFonts w:ascii="Aptos" w:cs="Aptos" w:eastAsia="Aptos" w:hAnsi="Aptos"/>
          <w:color w:val="1A1A1A"/>
          <w:sz w:val="21"/>
          <w:szCs w:val="21"/>
        </w:rPr>
        <w:t xml:space="preserve">Bleibt der Dissens, steht das Einspruchsverfahren der Stelle offen.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Auditorkontinuität </w:t>
            </w:r>
            <w:r>
              <w:rPr>
                <w:rFonts w:ascii="Aptos" w:cs="Aptos" w:eastAsia="Aptos" w:hAnsi="Aptos"/>
                <w:color w:val="1A1A1A"/>
                <w:sz w:val="21"/>
                <w:szCs w:val="21"/>
              </w:rPr>
              <w:t xml:space="preserve">Das Hotel kann Kontinuität des Auditors ausdrücklich anfragen. Die Stelle entscheidet nach ihren eigenen Regeln zur Unparteilichkeit und Rotation, die auf ISO/IEC 17021-1 beruhen. Das Hotel respektiert diese Regeln und verlangt keine Kontinuität um jeden Preis.</w:t>
            </w:r>
          </w:p>
        </w:tc>
      </w:tr>
    </w:tbl>
    <w:p>
      <w:pPr>
        <w:spacing w:after="12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kein Ersatz für ISO 14001:2026 oder ISO/IEC 17021-1 und gibt keinen Normtext wieder. Es ist keine Rechtsberatung und ersetzt nicht die Regeln und das Auditprogramm der eigenen Zertifizierungsstelle. Kalender und Dossier sind an das eigene Haus anzupassen. Rechtsstand ist der 11. Oktober 2026.</w:t>
      </w:r>
    </w:p>
    <w:p>
      <w:pPr>
        <w:spacing w:after="140" w:before="0" w:line="300"/>
        <w:jc w:val="both"/>
      </w:pPr>
      <w:r>
        <w:rPr>
          <w:rFonts w:ascii="Aptos" w:cs="Aptos" w:eastAsia="Aptos" w:hAnsi="Aptos"/>
          <w:i/>
          <w:iCs/>
          <w:color w:val="1A1A1A"/>
          <w:sz w:val="21"/>
          <w:szCs w:val="21"/>
        </w:rPr>
        <w:t xml:space="preserve">Bezug im Buch: Band 1b, Abschnitt 4.9</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1b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2026-10-11T23:08:58.257Z</dcterms:created>
  <dcterms:modified xsi:type="dcterms:W3CDTF">2026-10-11T23:08:58.257Z</dcterms:modified>
</cp:coreProperties>
</file>

<file path=docProps/custom.xml><?xml version="1.0" encoding="utf-8"?>
<Properties xmlns="http://schemas.openxmlformats.org/officeDocument/2006/custom-properties" xmlns:vt="http://schemas.openxmlformats.org/officeDocument/2006/docPropsVTypes"/>
</file>