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ptos" w:cs="Aptos" w:eastAsia="Aptos" w:hAnsi="Aptos"/>
          <w:color w:val="5A5A5A"/>
          <w:sz w:val="18"/>
          <w:szCs w:val="18"/>
        </w:rPr>
        <w:t xml:space="preserve">Das Steuer und die Lupe · Band 1b · ISO 14001:2026</w:t>
      </w:r>
    </w:p>
    <w:p>
      <w:pPr>
        <w:spacing w:after="200"/>
      </w:pPr>
      <w:r>
        <w:rPr>
          <w:rFonts w:ascii="Aptos" w:cs="Aptos" w:eastAsia="Aptos" w:hAnsi="Aptos"/>
          <w:b/>
          <w:bCs/>
          <w:color w:val="8C5A2B"/>
          <w:sz w:val="18"/>
          <w:szCs w:val="18"/>
        </w:rPr>
        <w:t xml:space="preserve">VORLAGE ZU ABSCHNITT 3.13 UND 4.3</w:t>
      </w:r>
    </w:p>
    <w:p>
      <w:pPr>
        <w:pStyle w:val="Heading1"/>
        <w:spacing w:after="120" w:line="360"/>
      </w:pPr>
      <w:r>
        <w:rPr>
          <w:rFonts w:ascii="Aptos" w:cs="Aptos" w:eastAsia="Aptos" w:hAnsi="Aptos"/>
          <w:b/>
          <w:bCs/>
          <w:color w:val="002060"/>
          <w:sz w:val="36"/>
          <w:szCs w:val="36"/>
        </w:rPr>
        <w:t xml:space="preserve">Änderungsprotokoll</w:t>
      </w:r>
    </w:p>
    <w:p>
      <w:pPr>
        <w:spacing w:after="200"/>
      </w:pPr>
      <w:r>
        <w:rPr>
          <w:rFonts w:ascii="Aptos" w:cs="Aptos" w:eastAsia="Aptos" w:hAnsi="Aptos"/>
          <w:i/>
          <w:iCs/>
          <w:color w:val="5A5A5A"/>
          <w:sz w:val="22"/>
          <w:szCs w:val="22"/>
        </w:rPr>
        <w:t xml:space="preserve">Planung von Änderungen nach Klausel 6.3 · Auslöser, Bewertung, Freigabe, Umsetzung, Wirksamkeitsprüfung</w:t>
      </w:r>
    </w:p>
    <w:p>
      <w:pPr>
        <w:pBdr>
          <w:bottom w:val="single" w:color="C9BBA6" w:sz="6" w:space="4"/>
        </w:pBdr>
        <w:spacing w:after="240"/>
      </w:pPr>
      <w:r>
        <w:rPr>
          <w:rFonts w:ascii="Aptos" w:cs="Aptos" w:eastAsia="Aptos" w:hAnsi="Aptos"/>
          <w:color w:val="5A5A5A"/>
          <w:sz w:val="17"/>
          <w:szCs w:val="17"/>
        </w:rPr>
        <w:t xml:space="preserve">Stand: 11. Oktober 2026 · buecher.effedore.com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8C5A2B" w:sz="24"/>
              <w:bottom w:val="none" w:color="FFFFFF" w:sz="0"/>
              <w:right w:val="none" w:color="FFFFFF" w:sz="0"/>
            </w:tcBorders>
            <w:shd w:fill="EFE7DC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rFonts w:ascii="Aptos" w:cs="Aptos" w:eastAsia="Aptos" w:hAnsi="Aptos"/>
                <w:b/>
                <w:bCs/>
                <w:color w:val="8C5A2B"/>
                <w:sz w:val="18"/>
                <w:szCs w:val="18"/>
              </w:rPr>
              <w:t xml:space="preserve">Zu dieser Vorlage </w:t>
            </w:r>
            <w:r>
              <w:rPr>
                <w:rFonts w:ascii="Aptos" w:cs="Aptos" w:eastAsia="Aptos" w:hAnsi="Aptos"/>
                <w:color w:val="1A1A1A"/>
                <w:sz w:val="21"/>
                <w:szCs w:val="21"/>
              </w:rPr>
              <w:t xml:space="preserve">Klausel 6.3 schreibt weder ein Formular noch ein Register noch einen Schwellenwert vor. Ein Änderungsprotokoll ist gute Praxis, keine Normanforderung. Die Vorlage bildet den Weg ab, den das Buch beschreibt: Auslöser, Bewertung, Freigabe, Umsetzung und Wirksamkeitsprüfung.</w:t>
            </w:r>
          </w:p>
        </w:tc>
      </w:tr>
    </w:tbl>
    <w:p>
      <w:pPr>
        <w:spacing w:after="12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Dokumentkopf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2699"/>
        <w:gridCol w:w="2120"/>
        <w:gridCol w:w="2699"/>
      </w:tblGrid>
      <w:tr>
        <w:trPr>
          <w:tblHeader/>
        </w:trPr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Feld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Eintrag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Feld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Eintrag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Haus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Version, Datum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Erstellt (Name, Funktion)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Datum, Unterschrift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Geprüft (Name, Funktion)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Datum, Unterschrift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Freigegeben (Direktion)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Datum, Unterschrift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A. Kriterien und Erfassungswege des Hauses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Das Haus legt selbst fest, ab wann eine Änderung das Umweltmanagementsystem betrifft. Die ersten vier Kriterien nennt das Buch als typisch. Eigene Kriterien in den leeren Zeilen ergänzen.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A1 Kriterien: Wann betrifft eine Änderung das System?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1542"/>
        <w:gridCol w:w="4241"/>
      </w:tblGrid>
      <w:tr>
        <w:trPr>
          <w:tblHeader/>
        </w:trPr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Kriterium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Gilt im Haus (ja/nein)</w:t>
            </w:r>
          </w:p>
        </w:tc>
        <w:tc>
          <w:tcPr>
            <w:tcW w:type="dxa" w:w="42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Konkretisierung des Hauses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Neuer oder veränderter Umweltaspekt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42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Neue bindende Verpflichtung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42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Neuer Anbieter für einen wesentlichen Prozess (Auslagerung, Lieferantenwechsel)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42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Wechsel in einer Rolle mit Systemverantwortung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42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Vorübergehender Zustand während eines Umbaus (Bauphase im laufenden Betrieb)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42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42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42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An jedem Entscheidungsweg steht die Frage: «Ist das Umweltmanagementsystem betroffen?»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A2 Erfassungswege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3084"/>
        <w:gridCol w:w="1157"/>
        <w:gridCol w:w="2120"/>
      </w:tblGrid>
      <w:tr>
        <w:trPr>
          <w:tblHeader/>
        </w:trPr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Entscheidungsweg / Auslöser</w:t>
            </w:r>
          </w:p>
        </w:tc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Pflichtfrage eingebaut in (Dokument)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Seit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Verantwortlich</w:t>
            </w:r>
          </w:p>
        </w:tc>
      </w:tr>
      <w:tr>
        <w:trPr>
          <w:cantSplit/>
        </w:trPr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Investitionsbeschluss (Eigentümerschaft, Direktion)</w:t>
            </w:r>
          </w:p>
        </w:tc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Verträge und Auslagerungen (Einkauf)</w:t>
            </w:r>
          </w:p>
        </w:tc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Bauvorhaben, Anlagentausch, Energieträgerwechsel (Technik)</w:t>
            </w:r>
          </w:p>
        </w:tc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Stellenbesetzung, Wechsel einer Schlüsselperson (Personal)</w:t>
            </w:r>
          </w:p>
        </w:tc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Betreiber- oder Pächterwechsel</w:t>
            </w:r>
          </w:p>
        </w:tc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Neue bindende Verpflichtung (Rechtsregister)</w:t>
            </w:r>
          </w:p>
        </w:tc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Befunde aus Audits, Korrekturmaßnahmen</w:t>
            </w:r>
          </w:p>
        </w:tc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Veränderte Umweltbedingungen, Managementbewertung</w:t>
            </w:r>
          </w:p>
        </w:tc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B. Änderungsregister (Übersicht)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Jede erfasste Änderung erhält eine Nummer und ein eigenes Änderungsblatt (Teil C). Auch kleine Änderungen und Personalwechsel gehören hierher, wenn ein Kriterium aus A1 zutrifft.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Status: geplant / bewertet / freigegeben / umgesetzt / wirksam geprüft / abgeschlossen. Zeile B = Beispiel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7"/>
        <w:gridCol w:w="1831"/>
        <w:gridCol w:w="1928"/>
        <w:gridCol w:w="1157"/>
        <w:gridCol w:w="964"/>
        <w:gridCol w:w="1735"/>
        <w:gridCol w:w="1156"/>
      </w:tblGrid>
      <w:tr>
        <w:trPr>
          <w:tblHeader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183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Änderung (kurz)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Auslöser / Quelle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Bereich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Erfasst am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Kriterium aus A1</w:t>
            </w:r>
          </w:p>
        </w:tc>
        <w:tc>
          <w:tcPr>
            <w:tcW w:type="dxa" w:w="11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</w:t>
            </w:r>
          </w:p>
        </w:tc>
        <w:tc>
          <w:tcPr>
            <w:tcW w:type="dxa" w:w="183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Beispiel (Kompositfall, anzupassen): Auslagerung der Wäscherei an eine externe Großwäscherei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Direktion und Einkauf: Personalmangel, Platzbedarf für das Spa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Housekeeping, Wäsche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Neuer Anbieter für wesentlichen Prozess; Aspekt verändert</w:t>
            </w:r>
          </w:p>
        </w:tc>
        <w:tc>
          <w:tcPr>
            <w:tcW w:type="dxa" w:w="11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geplant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1</w:t>
            </w:r>
          </w:p>
        </w:tc>
        <w:tc>
          <w:tcPr>
            <w:tcW w:type="dxa" w:w="183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2</w:t>
            </w:r>
          </w:p>
        </w:tc>
        <w:tc>
          <w:tcPr>
            <w:tcW w:type="dxa" w:w="183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3</w:t>
            </w:r>
          </w:p>
        </w:tc>
        <w:tc>
          <w:tcPr>
            <w:tcW w:type="dxa" w:w="183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4</w:t>
            </w:r>
          </w:p>
        </w:tc>
        <w:tc>
          <w:tcPr>
            <w:tcW w:type="dxa" w:w="183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5</w:t>
            </w:r>
          </w:p>
        </w:tc>
        <w:tc>
          <w:tcPr>
            <w:tcW w:type="dxa" w:w="183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6</w:t>
            </w:r>
          </w:p>
        </w:tc>
        <w:tc>
          <w:tcPr>
            <w:tcW w:type="dxa" w:w="183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C. Änderungsblatt (je Änderung ein Blatt)</w:t>
      </w: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C1 Beschreibung und Auslöser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4"/>
        <w:gridCol w:w="6554"/>
      </w:tblGrid>
      <w:tr>
        <w:trPr>
          <w:tblHeader/>
        </w:trPr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Feld</w:t>
            </w:r>
          </w:p>
        </w:tc>
        <w:tc>
          <w:tcPr>
            <w:tcW w:type="dxa" w:w="655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Eintrag</w:t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Nr. im Register</w:t>
            </w:r>
          </w:p>
        </w:tc>
        <w:tc>
          <w:tcPr>
            <w:tcW w:type="dxa" w:w="655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Bezeichnung der Änderung</w:t>
            </w:r>
          </w:p>
        </w:tc>
        <w:tc>
          <w:tcPr>
            <w:tcW w:type="dxa" w:w="655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Zweck der Änderung</w:t>
            </w:r>
          </w:p>
        </w:tc>
        <w:tc>
          <w:tcPr>
            <w:tcW w:type="dxa" w:w="655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Auslöser (ankreuzen)</w:t>
            </w:r>
          </w:p>
        </w:tc>
        <w:tc>
          <w:tcPr>
            <w:tcW w:type="dxa" w:w="655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☐ Investition  ☐ Vertrag / Auslagerung  ☐ Bau / Anlagentausch  ☐ Energieträgerwechsel  ☐ Personal / Rolle  ☐ Betreiberwechsel  ☐ neue bindende Verpflichtung  ☐ Auditbefund / Korrekturmaßnahme  ☐ veränderte Umweltbedingung  ☐ sonstiges</w:t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Verantwortlich für das Vorhaben</w:t>
            </w:r>
          </w:p>
        </w:tc>
        <w:tc>
          <w:tcPr>
            <w:tcW w:type="dxa" w:w="655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Datum des Beschlusses; geplanter Zeitraum der Umsetzung</w:t>
            </w:r>
          </w:p>
        </w:tc>
        <w:tc>
          <w:tcPr>
            <w:tcW w:type="dxa" w:w="655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Bauphase oder Übergangszustand im laufenden Betrieb?</w:t>
            </w:r>
          </w:p>
        </w:tc>
        <w:tc>
          <w:tcPr>
            <w:tcW w:type="dxa" w:w="655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☐ ja  ☐ nein   Zeitraum:</w:t>
            </w:r>
          </w:p>
        </w:tc>
      </w:tr>
    </w:tbl>
    <w:p>
      <w:pPr>
        <w:spacing w:after="140"/>
      </w:pP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C2 Bewertung der Folgen vor der Umsetzung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 Bewertung liegt zeitlich vor dem Beschluss oder vor der Inbetriebnahme. Ihr Umfang richtet sich nach der Tragweite der Änderung.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37"/>
        <w:gridCol w:w="964"/>
        <w:gridCol w:w="2602"/>
        <w:gridCol w:w="867"/>
        <w:gridCol w:w="868"/>
      </w:tblGrid>
      <w:tr>
        <w:trPr>
          <w:tblHeader/>
        </w:trPr>
        <w:tc>
          <w:tcPr>
            <w:tcW w:type="dxa" w:w="43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Prüfpunkt (Klausel, wie im Buch)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Betroffen? (ja/nein)</w:t>
            </w:r>
          </w:p>
        </w:tc>
        <w:tc>
          <w:tcPr>
            <w:tcW w:type="dxa" w:w="260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Bewertung, notwendige Anpassung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Verantw.</w:t>
            </w:r>
          </w:p>
        </w:tc>
        <w:tc>
          <w:tcPr>
            <w:tcW w:type="dxa" w:w="8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Bis</w:t>
            </w:r>
          </w:p>
        </w:tc>
      </w:tr>
      <w:tr>
        <w:trPr>
          <w:cantSplit/>
        </w:trPr>
        <w:tc>
          <w:tcPr>
            <w:tcW w:type="dxa" w:w="43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Umweltaspekte, auch neue Tätigkeiten, anomale Bedingungen, Notfälle (6.1.2)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3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Bindende Verpflichtungen, Rechtsregister (6.1.3; Details in C2b)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3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Risiken und Chancen der Änderung (6.1.4), Maßnahmen dazu (6.1.5)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3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Umweltziele und Kennzahlen neu berechnen (6.2)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3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Extern bereitgestellte Prozesse: Umweltanforderungen und Datenlieferung im Vertrag (8.1)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3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Notfallvorsorge, z. B. Chemikalienaustritt (8.2)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3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Dokumentierte Information: Arbeitsanweisungen, Sicherheitsdatenblätter (7.5)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3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Kompetenz und Schulung, Bewusstsein (7.3) des betroffenen Personals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3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Verantwortungen und Übergaben (Verantwortungsmatrix, Übergabeprotokoll)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3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Bauphase: Baustellenabfälle, Staub, Lärm, provisorische Lagerung, Lieferwege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33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Gästekommunikation, Umweltaussagen; Ressourcen (Personal, Budget, Zeit)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8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C2b Bindende Verpflichtungen, die an die Änderung anknüpfen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2120"/>
        <w:gridCol w:w="2313"/>
        <w:gridCol w:w="1253"/>
        <w:gridCol w:w="1061"/>
      </w:tblGrid>
      <w:tr>
        <w:trPr>
          <w:tblHeader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Verpflichtung (Rechtsquelle, Land)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Auslösender Sachverhalt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Prüfergebnis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Im Rechtsregister am</w:t>
            </w:r>
          </w:p>
        </w:tc>
        <w:tc>
          <w:tcPr>
            <w:tcW w:type="dxa" w:w="10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Verantw.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Beispiel (Kompositfall, anzupassen): AT, Abfallwirtschaftskonzept nach § 10 AWG 2002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Neuer Spa-Bereich mit neuen Abfällen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Wesentliche Änderung? Prüfauftrag bis zur Managementbewertung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8C5A2B" w:sz="24"/>
              <w:bottom w:val="none" w:color="FFFFFF" w:sz="0"/>
              <w:right w:val="none" w:color="FFFFFF" w:sz="0"/>
            </w:tcBorders>
            <w:shd w:fill="EFE7DC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rFonts w:ascii="Aptos" w:cs="Aptos" w:eastAsia="Aptos" w:hAnsi="Aptos"/>
                <w:b/>
                <w:bCs/>
                <w:color w:val="8C5A2B"/>
                <w:sz w:val="18"/>
                <w:szCs w:val="18"/>
              </w:rPr>
              <w:t xml:space="preserve">Hinweis aus dem Buch </w:t>
            </w:r>
            <w:r>
              <w:rPr>
                <w:rFonts w:ascii="Aptos" w:cs="Aptos" w:eastAsia="Aptos" w:hAnsi="Aptos"/>
                <w:color w:val="1A1A1A"/>
                <w:sz w:val="21"/>
                <w:szCs w:val="21"/>
              </w:rPr>
              <w:t xml:space="preserve">AT: Abfallwirtschaftskonzept nach § 10 AWG 2002 bei wesentlichen Änderungen fortschreiben (Betriebe mit mehr als 20 Arbeitnehmern, spätestens alle sieben Jahre). Wärmepumpe: Kältemittelpflichten nach F-Gase-Verordnung (EU) 2024/573 (DE, AT) oder ChemRRV Anhang 2.10 (CH). DE: Seit 29. Juli 2026 gilt das GModG statt des GEG. Alles an der geltenden Fassung prüfen.</w:t>
            </w:r>
          </w:p>
        </w:tc>
      </w:tr>
    </w:tbl>
    <w:p>
      <w:pPr>
        <w:spacing w:after="120"/>
      </w:pP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C3 Freigabe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2313"/>
        <w:gridCol w:w="1157"/>
        <w:gridCol w:w="1927"/>
      </w:tblGrid>
      <w:tr>
        <w:trPr>
          <w:tblHeader/>
        </w:trPr>
        <w:tc>
          <w:tcPr>
            <w:tcW w:type="dxa" w:w="42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Schritt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Name, Funktion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Datum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Unterschrift</w:t>
            </w:r>
          </w:p>
        </w:tc>
      </w:tr>
      <w:tr>
        <w:trPr>
          <w:cantSplit/>
        </w:trPr>
        <w:tc>
          <w:tcPr>
            <w:tcW w:type="dxa" w:w="42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Bewertung C2 durchgeführt (Umweltbeauftragte oder Nachhaltigkeitsbeauftragte)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2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Freigabe der Änderung mit den Anpassungen aus C2 (Direktion)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2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Kenntnisnahme Eigentümerschaft (falls Investitionsbeschluss)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2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Bedingungen der Freigabe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2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Zeitpunkt und Kriterium der Wirksamkeitsprüfung festgelegt (siehe C5)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spacing w:after="140" w:before="0" w:line="300"/>
        <w:jc w:val="both"/>
      </w:pPr>
      <w:r>
        <w:rPr>
          <w:rFonts w:ascii="Aptos" w:cs="Aptos" w:eastAsia="Aptos" w:hAnsi="Aptos"/>
          <w:i/>
          <w:iCs/>
          <w:color w:val="1A1A1A"/>
          <w:sz w:val="21"/>
          <w:szCs w:val="21"/>
        </w:rPr>
        <w:t xml:space="preserve">Ausfüllhinweis: Die Freigabe ist vor dem Beschluss oder vor der Umsetzung datiert.</w:t>
      </w: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C4 Umsetzung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4"/>
        <w:gridCol w:w="2891"/>
        <w:gridCol w:w="1349"/>
        <w:gridCol w:w="1157"/>
        <w:gridCol w:w="1060"/>
        <w:gridCol w:w="2217"/>
      </w:tblGrid>
      <w:tr>
        <w:trPr>
          <w:tblHeader/>
        </w:trPr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Maßnahme aus C2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Verantwortlich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Termin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Erledigt am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Nachweis (Dokument, Revisionsstand)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Beispiel (Kompositfall, anzupassen): Rechtsregister um die Kältemittelpflichten der Wärmepumpe ergänzen; Heizöltank austragen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Technik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vor Inbetriebnahme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Revisionsstand Rechtsregister; Kopie des Kältemittelnachweises im Haus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1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2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3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4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5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6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C5 Wirksamkeitsprüfung nach der Umsetzung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 Planung endet nicht mit der Eröffnung. Geprüft wird, ob die beabsichtigten Ergebnisse des Systems nach der Änderung erreichbar bleiben.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26"/>
        <w:gridCol w:w="1349"/>
        <w:gridCol w:w="1831"/>
        <w:gridCol w:w="1832"/>
      </w:tblGrid>
      <w:tr>
        <w:trPr>
          <w:tblHeader/>
        </w:trPr>
        <w:tc>
          <w:tcPr>
            <w:tcW w:type="dxa" w:w="46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Prüffrage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Ergebnis</w:t>
            </w:r>
          </w:p>
        </w:tc>
        <w:tc>
          <w:tcPr>
            <w:tcW w:type="dxa" w:w="183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Nachweis</w:t>
            </w:r>
          </w:p>
        </w:tc>
        <w:tc>
          <w:tcPr>
            <w:tcW w:type="dxa" w:w="183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Folgemaßnahme</w:t>
            </w:r>
          </w:p>
        </w:tc>
      </w:tr>
      <w:tr>
        <w:trPr>
          <w:cantSplit/>
        </w:trPr>
        <w:tc>
          <w:tcPr>
            <w:tcW w:type="dxa" w:w="46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Sind die beabsichtigten Ergebnisse des Systems noch erreichbar?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3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3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Wurden die Umweltziele nach der Änderung neu berechnet oder bestätigt?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3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3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Sind die Kennzahlen ohne Bruch fortgeführt (z. B. Verbrauch beim Anbieter mitgerechnet)?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3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3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Wurden die Verbrauchsdaten der ersten Betriebsmonate ausgewertet?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3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3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Werden Verfahren und Arbeitsanweisungen im Betrieb angewendet (Befragung, Beobachtung)?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3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3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Kennt die Nachfolge die übernommenen Pflichten (Befragung)?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3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3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Stimmen Umweltaussagen gegenüber Gästen noch mit den Kennzahlen überein?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3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3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spacing w:after="140" w:before="0" w:line="30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Wirksamkeit geprüft am, durch: _____________________</w:t>
      </w:r>
      <w:r>
        <w:rPr>
          <w:rFonts w:ascii="Aptos" w:cs="Aptos" w:eastAsia="Aptos" w:hAnsi="Aptos"/>
          <w:i/>
          <w:iCs/>
          <w:color w:val="1A1A1A"/>
          <w:sz w:val="21"/>
          <w:szCs w:val="21"/>
        </w:rPr>
        <w:t xml:space="preserve">   Abgeschlossen am: 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__________</w:t>
      </w:r>
      <w:r>
        <w:rPr>
          <w:rFonts w:ascii="Aptos" w:cs="Aptos" w:eastAsia="Aptos" w:hAnsi="Aptos"/>
          <w:i/>
          <w:iCs/>
          <w:color w:val="1A1A1A"/>
          <w:sz w:val="21"/>
          <w:szCs w:val="21"/>
        </w:rPr>
        <w:t xml:space="preserve">   Eingang in die Managementbewertung (9.3) am: 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___________</w:t>
      </w: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D. Abgleich mit einer unabhängigen Änderungsliste (internes Audit)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Der interne Auditor erstellt die Liste aus Quellen außerhalb des Systems. Er war an keinem der geprüften Vorhaben beteiligt. Der Abgleich zeigt, ob der Erfassungsweg funktioniert.</w:t>
      </w:r>
    </w:p>
    <w:p>
      <w:pPr>
        <w:spacing w:after="140" w:before="0" w:line="30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Auditor: ___________________</w:t>
      </w:r>
      <w:r>
        <w:rPr>
          <w:rFonts w:ascii="Aptos" w:cs="Aptos" w:eastAsia="Aptos" w:hAnsi="Aptos"/>
          <w:i/>
          <w:iCs/>
          <w:color w:val="1A1A1A"/>
          <w:sz w:val="21"/>
          <w:szCs w:val="21"/>
        </w:rPr>
        <w:t xml:space="preserve">   ☐ an keinem geprüften Vorhaben beteiligt   Zeitraum der Liste: 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_____________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Quellen: Protokolle der Eigentümerschaft, Investitionsplan, neue und gekündigte Verträge, Bautagebuch, Organigramm, Lieferantenliste, Befragung der Bereichsleitungen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928"/>
        <w:gridCol w:w="964"/>
        <w:gridCol w:w="1253"/>
        <w:gridCol w:w="1253"/>
        <w:gridCol w:w="1541"/>
      </w:tblGrid>
      <w:tr>
        <w:trPr>
          <w:tblHeader/>
        </w:trPr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Änderung aus der unabhängigen Liste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Quelle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In B erfasst?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Vorher bewertet?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Nachkon­trolle?</w:t>
            </w:r>
          </w:p>
        </w:tc>
        <w:tc>
          <w:tcPr>
            <w:tcW w:type="dxa" w:w="15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Bemerkung</w:t>
            </w:r>
          </w:p>
        </w:tc>
      </w:tr>
      <w:tr>
        <w:trPr>
          <w:cantSplit/>
        </w:trPr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5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Indikatoren für Auditbericht und Managementbewertung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61"/>
        <w:gridCol w:w="1638"/>
        <w:gridCol w:w="1639"/>
      </w:tblGrid>
      <w:tr>
        <w:trPr>
          <w:tblHeader/>
        </w:trPr>
        <w:tc>
          <w:tcPr>
            <w:tcW w:type="dxa" w:w="63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Indikator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Dieser Zyklus</w:t>
            </w:r>
          </w:p>
        </w:tc>
        <w:tc>
          <w:tcPr>
            <w:tcW w:type="dxa" w:w="16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Vorzyklus</w:t>
            </w:r>
          </w:p>
        </w:tc>
      </w:tr>
      <w:tr>
        <w:trPr>
          <w:cantSplit/>
        </w:trPr>
        <w:tc>
          <w:tcPr>
            <w:tcW w:type="dxa" w:w="63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Anteil der wesentlichen Änderungen aus der unabhängigen Liste, die im System erfasst waren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Anteil der Änderungen mit dokumentierter Bewertung vor der Umsetzung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Anteil der Änderungen mit Nachkontrolle von Zielen und Kennzahlen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6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Zahl der Kennzahlenbrüche durch ungeplante Änderungen</w:t>
            </w:r>
          </w:p>
        </w:tc>
        <w:tc>
          <w:tcPr>
            <w:tcW w:type="dxa" w:w="163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3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E. Nachweis für das Übergangsaudit (Abschnitt 4.3)</w:t>
      </w:r>
    </w:p>
    <w:p>
      <w:pPr>
        <w:spacing w:after="140" w:before="0" w:line="30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Der Auditor der Stelle verfolgt nach üblicher Praxis mindestens eine reale Änderung vom Anstoß bis zur Wirksamkeitsprüfung. Bereitgehaltene Änderungsblätter (C1 bis C5), Nr.: ______________________</w:t>
      </w: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Was diese Vorlage nicht ist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Diese Vorlage ersetzt nicht den Normtext der ISO 14001:2026 und ist keine Rechtsberatung. Klausel 6.3 verlangt kein bestimmtes Formular; Kriterien, Felder und Zuständigkeiten sind an das eigene Haus anzupassen. Rechtsstand der genannten Angaben: 11. Oktober 2026.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Bezug im Buch: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Band 1b, Abschnitt 3.13 und Abschnitt 4.3.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5A5A5A"/>
        <w:sz w:val="16"/>
        <w:szCs w:val="16"/>
      </w:rPr>
      <w:t xml:space="preserve">Francesco Dore · Das Steuer und die Lupe · Band 1b · Seite </w:t>
    </w:r>
    <w:r>
      <w:rPr>
        <w:rFonts w:ascii="Aptos" w:cs="Aptos" w:eastAsia="Aptos" w:hAnsi="Aptos"/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ptos" w:cs="Aptos" w:eastAsia="Aptos" w:hAnsi="Aptos"/>
      <w:b/>
      <w:bCs/>
      <w:color w:val="002060"/>
      <w:sz w:val="36"/>
      <w:szCs w:val="3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Dore</dc:creator>
  <cp:lastModifiedBy>Un-named</cp:lastModifiedBy>
  <cp:revision>1</cp:revision>
  <dcterms:created xsi:type="dcterms:W3CDTF">2026-10-11T23:08:02.050Z</dcterms:created>
  <dcterms:modified xsi:type="dcterms:W3CDTF">2026-10-11T23:08:02.050Z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