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1b · ISO 14001:2026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VORLAGE ZU ABSCHNITT 3.12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Auditbericht: Vollbericht und Executive Report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Berichts-Outputs des internen Audits mit Abteilungskommunikation und ESG-Kohärenztabelle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11. Oktober 2026 · buecher.effedore.com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76"/>
        <w:gridCol w:w="1641"/>
        <w:gridCol w:w="2051"/>
        <w:gridCol w:w="1230"/>
        <w:gridCol w:w="1640"/>
      </w:tblGrid>
      <w:tr>
        <w:trPr>
          <w:tblHeader/>
        </w:trPr>
        <w:tc>
          <w:tcPr>
            <w:tcW w:type="dxa" w:w="30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Haus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Audit-Nr.</w:t>
            </w:r>
          </w:p>
        </w:tc>
        <w:tc>
          <w:tcPr>
            <w:tcW w:type="dxa" w:w="205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Auditzeitraum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64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Datum</w:t>
            </w:r>
          </w:p>
        </w:tc>
      </w:tr>
      <w:tr>
        <w:trPr>
          <w:cantSplit/>
        </w:trPr>
        <w:tc>
          <w:tcPr>
            <w:tcW w:type="dxa" w:w="30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4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05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4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3"/>
        <w:gridCol w:w="2217"/>
        <w:gridCol w:w="2024"/>
        <w:gridCol w:w="1349"/>
        <w:gridCol w:w="1735"/>
      </w:tblGrid>
      <w:tr>
        <w:trPr>
          <w:tblHeader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Funktion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Datum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Unterschrift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Erstellt (Auditor)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Geprüft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Freigegeben (Auditor, Endfassung)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02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Zum Ausfüllen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Ein Audit, vier Dokumente für verschiedene Adressaten: Vollbericht, Executive Report, Abteilungsblätter, ESG-Kohärenztabelle. Jede Aussage im Executive Report trägt die Nummer der zugehörigen Feststellung im Vollbericht. Leere Zeilen sind Ausfüllfelder.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Berichtsweg, Fristen und Fassungen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Norm verlangt in Klausel 9.2, dass die Ergebnisse dem relevanten Management mitgeteilt werden; das Format ist offen. Die Fristen legt das Auditprogramm fest. Gute Prüfpraxis: Die Feststellungen erreichen ihre Adressaten unverändert, der Versand wird dokumentiert.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9"/>
        <w:gridCol w:w="2290"/>
        <w:gridCol w:w="2290"/>
        <w:gridCol w:w="859"/>
        <w:gridCol w:w="1145"/>
        <w:gridCol w:w="1145"/>
      </w:tblGrid>
      <w:tr>
        <w:trPr>
          <w:tblHeader/>
        </w:trPr>
        <w:tc>
          <w:tcPr>
            <w:tcW w:type="dxa" w:w="19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Output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Adressat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Frist (im Buch / im Haus)</w:t>
            </w:r>
          </w:p>
        </w:tc>
        <w:tc>
          <w:tcPr>
            <w:tcW w:type="dxa" w:w="8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Versandt am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Rückmeldung am</w:t>
            </w:r>
          </w:p>
        </w:tc>
      </w:tr>
      <w:tr>
        <w:trPr>
          <w:cantSplit/>
        </w:trPr>
        <w:tc>
          <w:tcPr>
            <w:tcW w:type="dxa" w:w="19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Vollbericht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Systemarchiv, Zertifizierungsstelle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Sieben Arbeitstage nach Abschluss / </w:t>
            </w:r>
          </w:p>
        </w:tc>
        <w:tc>
          <w:tcPr>
            <w:tcW w:type="dxa" w:w="8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Executive Report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Direktion, Leitungsmanagement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/ </w:t>
            </w:r>
          </w:p>
        </w:tc>
        <w:tc>
          <w:tcPr>
            <w:tcW w:type="dxa" w:w="8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Executive Report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Eigentümerschaft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/ </w:t>
            </w:r>
          </w:p>
        </w:tc>
        <w:tc>
          <w:tcPr>
            <w:tcW w:type="dxa" w:w="8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Abteilungsblätter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Abteilungsleitungen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Fünf Tage nach der Abschlusssitzung / </w:t>
            </w:r>
          </w:p>
        </w:tc>
        <w:tc>
          <w:tcPr>
            <w:tcW w:type="dxa" w:w="8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ESG-Kohärenztabelle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Grundlage für Vollbericht und Executive Report</w:t>
            </w:r>
          </w:p>
        </w:tc>
        <w:tc>
          <w:tcPr>
            <w:tcW w:type="dxa" w:w="22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Vor der Abschlusssitzung / </w:t>
            </w:r>
          </w:p>
        </w:tc>
        <w:tc>
          <w:tcPr>
            <w:tcW w:type="dxa" w:w="85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Änderungsprotokoll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Sachliche Hinweise der geprüften Bereiche gehören in die Abschlusssitzung. Einstufungen und Diagnosen ändert nur der Auditor, mit schriftlicher Begründung.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7"/>
        <w:gridCol w:w="1735"/>
        <w:gridCol w:w="1542"/>
        <w:gridCol w:w="1446"/>
        <w:gridCol w:w="2891"/>
        <w:gridCol w:w="1157"/>
      </w:tblGrid>
      <w:tr>
        <w:trPr>
          <w:tblHeader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Version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Geänderte Stelle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Hinweis von (Funktion)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Art (sachlich / Einstufung)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Begründung des Auditors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Datum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73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Vollbericht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Der Vollbericht ist vollständig, rückverfolgbar und mit allen Evidenzen belegt. Er wird mit Datum und Unterschrift des Auditors abgelegt. Gliederung: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6"/>
      </w:tblGrid>
      <w:tr>
        <w:trPr>
          <w:tblHeader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1. Executive Summary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2. Ergebnisse nach Prüfbereich (B1)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3. Nichtkonformitäten und Beobachtungen (B2)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4. Systemreifediagnose (B3)</w:t>
            </w:r>
          </w:p>
        </w:tc>
        <w:tc>
          <w:tcPr>
            <w:tcW w:type="dxa" w:w="19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5. Wirksamkeitsprüfungsplan (B4)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☐ vorhanden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☐ vorhanden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☐ vorhanden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☐ vorhanden</w:t>
            </w:r>
          </w:p>
        </w:tc>
        <w:tc>
          <w:tcPr>
            <w:tcW w:type="dxa" w:w="19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☐ vorhanden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B1. Feststellungen nach Prüfbereich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Evidenz mit Quelle: Dokument, Interview mit [Rolle], Beobachtung in [Bereich]. Urteil: K = Konformität, NK-l = leichte Nichtkonformität, NK-s = schwere Nichtkonformität, B = Beobachtung. Die Begründung nennt Anforderung und Nachweis. Schwer und leicht unterscheidet die ISO/IEC 17021-1; die Beobachtung ist übliche Praxis, keine eigene Kategorie der Norm.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1349"/>
        <w:gridCol w:w="771"/>
        <w:gridCol w:w="2506"/>
        <w:gridCol w:w="771"/>
        <w:gridCol w:w="2699"/>
      </w:tblGrid>
      <w:tr>
        <w:trPr>
          <w:tblHeader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Prüfbereich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Klausel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Evidenz mit Quelle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Urteil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Begründung der Einstufung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Beispiel (Kompositfall, anzupassen)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Housekeeping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7.3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Interviews mit kürzlich eingestelltem Personal; Schulungsnachweise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NK-l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Personal nicht in der aktualisierten Mülltrennung geschult; punktuelle Anomalie in einem sonst funktionierenden System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B2. Nichtkonformitäten und Beobachtungen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1"/>
        <w:gridCol w:w="1157"/>
        <w:gridCol w:w="3277"/>
        <w:gridCol w:w="1542"/>
        <w:gridCol w:w="1542"/>
        <w:gridCol w:w="1349"/>
      </w:tblGrid>
      <w:tr>
        <w:trPr>
          <w:tblHeader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Einstufung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Kurzbeschreibung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Blatt-Nr. Korrekturmaßnahme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Verantwortlich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Frist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2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B3. Systemreifediagnose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3"/>
        <w:gridCol w:w="2891"/>
        <w:gridCol w:w="2217"/>
        <w:gridCol w:w="2217"/>
      </w:tblGrid>
      <w:tr>
        <w:trPr>
          <w:tblHeader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Diagnosetest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Vorgehen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Befund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Diagnose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1. Ziel-Rückverfolgbarkeit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Ein Ziel durch die Klauseln verfolgen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2. Trennung Ergebnisse und System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Verbrauchskurve gegen den Kalender technischer Eingriffe legen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3. Anomalie-Reaktion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Weg einer Anomalie nach dem Monatsbericht verfolgen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4. Wissensverteilung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Interviewergebnisse nach Ebenen zusammenführen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5. Widerstand gegen Veränderungen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Akzeptanz eingeführter Verfahren prüfen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6. Verhaltensbeständigkeit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Anwendung unter nicht beobachteten Bedingungen beurteilen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2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1349"/>
        <w:gridCol w:w="3856"/>
      </w:tblGrid>
      <w:tr>
        <w:trPr>
          <w:tblHeader/>
        </w:trPr>
        <w:tc>
          <w:tcPr>
            <w:tcW w:type="dxa" w:w="44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Reifegrad (ankreuzen)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Aktuell</w:t>
            </w:r>
          </w:p>
        </w:tc>
        <w:tc>
          <w:tcPr>
            <w:tcW w:type="dxa" w:w="38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Richtung im nächsten Zyklus</w:t>
            </w:r>
          </w:p>
        </w:tc>
      </w:tr>
      <w:tr>
        <w:trPr>
          <w:cantSplit/>
        </w:trPr>
        <w:tc>
          <w:tcPr>
            <w:tcW w:type="dxa" w:w="44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1. System in der Aufbauphase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2. Funktionierendes System mit Vulnerabilitäten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3. Reifes System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3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4. Exzellentes System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B4. Wirksamkeitsprüfungsplan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2506"/>
        <w:gridCol w:w="1928"/>
        <w:gridCol w:w="1542"/>
        <w:gridCol w:w="1157"/>
        <w:gridCol w:w="1445"/>
      </w:tblGrid>
      <w:tr>
        <w:trPr>
          <w:tblHeader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Blatt-Nr.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Methode der Prüfung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Stichprobe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Verantwortlich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Termin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Ergebnis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44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Executive Report (zwei Seiten)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Unmittelbar, entscheidungsorientiert, ohne Normtechnik. Nichtkonformitäten erscheinen als erforderliche Entscheidungen, nicht als Klauselverweise.</w:t>
      </w: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Seite 1: Lage des Systems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1542"/>
        <w:gridCol w:w="3855"/>
        <w:gridCol w:w="1350"/>
      </w:tblGrid>
      <w:tr>
        <w:trPr>
          <w:tblHeader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Systemziel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Ampel (grün / gelb / rot)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Kurzbegründung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Feststellung Nr.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Prüfabdeckungsgrad (%)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Ampelbild kohärent mit Managementbewertung? (ja / nein)</w:t>
            </w:r>
          </w:p>
        </w:tc>
      </w:tr>
      <w:tr>
        <w:trPr>
          <w:cantSplit/>
        </w:trPr>
        <w:tc>
          <w:tcPr>
            <w:tcW w:type="dxa" w:w="385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1"/>
        <w:gridCol w:w="7325"/>
        <w:gridCol w:w="1542"/>
      </w:tblGrid>
      <w:tr>
        <w:trPr>
          <w:tblHeader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732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Kernbotschaft (ein Satz, fett im Bericht)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Feststellung Nr.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1</w:t>
            </w:r>
          </w:p>
        </w:tc>
        <w:tc>
          <w:tcPr>
            <w:tcW w:type="dxa" w:w="732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2</w:t>
            </w:r>
          </w:p>
        </w:tc>
        <w:tc>
          <w:tcPr>
            <w:tcW w:type="dxa" w:w="732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3</w:t>
            </w:r>
          </w:p>
        </w:tc>
        <w:tc>
          <w:tcPr>
            <w:tcW w:type="dxa" w:w="732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Seite 2: Erforderliche Entscheidungen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3470"/>
        <w:gridCol w:w="1349"/>
        <w:gridCol w:w="964"/>
        <w:gridCol w:w="964"/>
        <w:gridCol w:w="1349"/>
      </w:tblGrid>
      <w:tr>
        <w:trPr>
          <w:tblHeader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Entscheidung erforderlich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Verantwortlich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Frist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Priorität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Feststellung Nr.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Beispiel (Kompositfall, anzupassen)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Schulungsplan für neues Housekeeping-Personal mit Onboarding-Session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HR-Leitung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Juli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2313"/>
        <w:gridCol w:w="1542"/>
      </w:tblGrid>
      <w:tr>
        <w:trPr>
          <w:tblHeader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Beobachtung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Priorität (hoch / mittel / niedrig)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Feststellung Nr.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Textbaustein Begleit-E-Mail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«Beiliegend der Auditbericht. Seite 1 fasst die Kernergebnisse zusammen. Seite 2 enthält die [Anzahl] Entscheidungen, die Ihre Genehmigung bis [Datum] benötigen. Der vollständige Bericht liegt im Systemarchiv bereit.»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Abteilungskommunikation (eine Seite je Bereich)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Bereichsspezifisch, in der operativen Sprache des Bereichs, ohne Klauselverweise. Das Blatt geht direkt an die Abteilungsleitung, nicht über die Direktion gefiltert. Für jeden Bereich ein Blatt anlegen.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891"/>
        <w:gridCol w:w="1928"/>
        <w:gridCol w:w="2409"/>
      </w:tblGrid>
      <w:tr>
        <w:trPr>
          <w:tblHeader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Bereich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Abteilungsleitung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Versandt am</w:t>
            </w:r>
          </w:p>
        </w:tc>
        <w:tc>
          <w:tcPr>
            <w:tcW w:type="dxa" w:w="24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Feststellungen Nr.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40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3"/>
        <w:gridCol w:w="2891"/>
        <w:gridCol w:w="1157"/>
        <w:gridCol w:w="1157"/>
        <w:gridCol w:w="2120"/>
      </w:tblGrid>
      <w:tr>
        <w:trPr>
          <w:tblHeader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Was gut läuft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Was sich ändern muss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Wer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Bis wann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Rückmeldung des Bereichs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89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ESG-Kohärenztabelle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Norm verlangt in Klausel 7.4.1, dass extern kommunizierte Umweltinformationen mit denen des Systems übereinstimmen und verlässlich sind. Geprüft werden die Aussagen mit dem größten Gewicht: Werte an Großkunden, Website, Finanzierungsunterlagen. Jede Aussage wird bis zur Primärquelle zurückverfolgt. Ziel und erreichtes Ergebnis werden getrennt.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90"/>
        <w:gridCol w:w="1946"/>
        <w:gridCol w:w="927"/>
        <w:gridCol w:w="1390"/>
        <w:gridCol w:w="1668"/>
        <w:gridCol w:w="1205"/>
        <w:gridCol w:w="1112"/>
      </w:tblGrid>
      <w:tr>
        <w:trPr>
          <w:tblHeader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Nr.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Externe Aussage und Kanal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Wert extern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Wert im System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Primärquelle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Abweichung (akzeptabel / zu klären / NK)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Formuliert / freigegeben von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Beispiel (Kompositfall, anzupassen)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Fragebogen des Hauptkunden: erneuerbarer Strom für Scope 2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100 %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80 % durch Herkunftsnachweise gedeckt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Energieliefervertrag, Entwertungsbestätigung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NK (7.4.1)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3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66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1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4819"/>
        <w:gridCol w:w="2699"/>
      </w:tblGrid>
      <w:tr>
        <w:trPr>
          <w:tblHeader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Stelle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Prüffrage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Ergebnis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Verkauf und MICE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Wer beantwortet Kundenfragebögen, und wer prüft die Zahlen?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Marketing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Sind Aussagen auf Website, in Prospekten und auf Buchungsplattformen belegt?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Rezeption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Entsprechen die Standardantworten an Gäste den freigegebenen Formulierungen?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Technik und Einkauf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Decken die Herkunftsnachweise den deklarierten Anteil erneuerbaren Stroms?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Buchhaltung</w:t>
            </w:r>
          </w:p>
        </w:tc>
        <w:tc>
          <w:tcPr>
            <w:tcW w:type="dxa" w:w="481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Stimmen die Verbrauchsdaten im System mit den Rechnungen überein?</w:t>
            </w:r>
          </w:p>
        </w:tc>
        <w:tc>
          <w:tcPr>
            <w:tcW w:type="dxa" w:w="26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F. Kennzahlen der Berichtswirksamkeit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1928"/>
        <w:gridCol w:w="1927"/>
      </w:tblGrid>
      <w:tr>
        <w:trPr>
          <w:tblHeader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Kennzahl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Wert in diesem Zyklus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Vorjahr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Tage zwischen Abgabe des Executive Reports und Eingang der Genehmigungen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Anteil der Nichtkonformitäten mit formalisierter Entscheidung innerhalb von sieben Tagen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Abweichungen in der ESG-Kohärenztabelle nach Kategorie und Schwere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7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Versand der Abteilungsblätter innerhalb der Frist (ja / nein)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192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 Vorlage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Diese Vorlage ersetzt weder die ISO 14001:2026 noch die ISO 19011. Sie ist keine Rechtsberatung; den rechtlichen Rahmen für Umweltaussagen in D, A und CH an der geltenden Fassung prüfen. Das Haus passt Gliederung, Fristen und Adressaten an seine Organisation an. Rechtsstand: 11.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b/>
          <w:bCs/>
          <w:color w:val="1A1A1A"/>
          <w:sz w:val="21"/>
          <w:szCs w:val="21"/>
        </w:rPr>
        <w:t xml:space="preserve">Bezug im Buch:</w:t>
      </w:r>
      <w:r>
        <w:rPr>
          <w:rFonts w:ascii="Aptos" w:cs="Aptos" w:eastAsia="Aptos" w:hAnsi="Aptos"/>
          <w:color w:val="1A1A1A"/>
          <w:sz w:val="21"/>
          <w:szCs w:val="21"/>
        </w:rPr>
        <w:t xml:space="preserve"> Band 1b, Abschnitt 3.12 (Tabelle 13), mit Abschnitt 3.10 (Tabelle 11) für die Diagnosetests.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1b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2026-10-11T23:10:18.256Z</dcterms:created>
  <dcterms:modified xsi:type="dcterms:W3CDTF">2026-10-11T23:10:18.257Z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