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ptos" w:cs="Aptos" w:eastAsia="Aptos" w:hAnsi="Aptos"/>
          <w:color w:val="5A5A5A"/>
          <w:sz w:val="18"/>
          <w:szCs w:val="18"/>
        </w:rPr>
        <w:t xml:space="preserve">Das Steuer und die Lupe · Band 1b · ISO 14001:2026</w:t>
      </w:r>
    </w:p>
    <w:p>
      <w:pPr>
        <w:spacing w:after="200"/>
      </w:pPr>
      <w:r>
        <w:rPr>
          <w:rFonts w:ascii="Aptos" w:cs="Aptos" w:eastAsia="Aptos" w:hAnsi="Aptos"/>
          <w:b/>
          <w:bCs/>
          <w:color w:val="8C5A2B"/>
          <w:sz w:val="18"/>
          <w:szCs w:val="18"/>
        </w:rPr>
        <w:t xml:space="preserve">VORLAGE ZU ABSCHNITT 3.1 UND 3.2</w:t>
      </w:r>
    </w:p>
    <w:p>
      <w:pPr>
        <w:pStyle w:val="Heading1"/>
        <w:spacing w:after="120" w:line="360"/>
      </w:pPr>
      <w:r>
        <w:rPr>
          <w:rFonts w:ascii="Aptos" w:cs="Aptos" w:eastAsia="Aptos" w:hAnsi="Aptos"/>
          <w:b/>
          <w:bCs/>
          <w:color w:val="002060"/>
          <w:sz w:val="36"/>
          <w:szCs w:val="36"/>
        </w:rPr>
        <w:t xml:space="preserve">Auditorenpool und Unabhängigkeitsmatrix</w:t>
      </w:r>
    </w:p>
    <w:p>
      <w:pPr>
        <w:spacing w:after="200"/>
      </w:pPr>
      <w:r>
        <w:rPr>
          <w:rFonts w:ascii="Aptos" w:cs="Aptos" w:eastAsia="Aptos" w:hAnsi="Aptos"/>
          <w:i/>
          <w:iCs/>
          <w:color w:val="5A5A5A"/>
          <w:sz w:val="22"/>
          <w:szCs w:val="22"/>
        </w:rPr>
        <w:t xml:space="preserve">Wer prüft welchen Bereich · Ausschluss eigener Verantwortungsbereiche · Kompetenznachweise · Einsatzplanung</w:t>
      </w:r>
    </w:p>
    <w:p>
      <w:pPr>
        <w:pBdr>
          <w:bottom w:val="single" w:color="C9BBA6" w:sz="6" w:space="4"/>
        </w:pBdr>
        <w:spacing w:after="240"/>
      </w:pPr>
      <w:r>
        <w:rPr>
          <w:rFonts w:ascii="Aptos" w:cs="Aptos" w:eastAsia="Aptos" w:hAnsi="Aptos"/>
          <w:color w:val="5A5A5A"/>
          <w:sz w:val="17"/>
          <w:szCs w:val="17"/>
        </w:rPr>
        <w:t xml:space="preserve">Stand: 11. Oktober 2026 · buecher.effedore.com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Zu dieser Vorlage </w:t>
            </w:r>
            <w:r>
              <w:rPr>
                <w:rFonts w:ascii="Aptos" w:cs="Aptos" w:eastAsia="Aptos" w:hAnsi="Aptos"/>
                <w:color w:val="1A1A1A"/>
                <w:sz w:val="21"/>
                <w:szCs w:val="21"/>
              </w:rPr>
              <w:t xml:space="preserve">Klausel 9.2 verlangt, Auditoren so auszuwählen, dass Objektivität und Unparteilichkeit des Auditprozesses gewährleistet sind. Gute Prüfpraxis leitet daraus ab: Prozesse in eigener Verantwortung prüft ein anderer kompetenter und ausreichend unabhängiger Auditor. Die Vorlage macht diese Zuordnung sichtbar.</w:t>
            </w:r>
          </w:p>
        </w:tc>
      </w:tr>
    </w:tbl>
    <w:p>
      <w:pPr>
        <w:spacing w:after="120"/>
      </w:pPr>
    </w:p>
    <w:p>
      <w:pPr>
        <w:keepNext/>
        <w:spacing w:after="90" w:before="160"/>
      </w:pPr>
      <w:r>
        <w:rPr>
          <w:rFonts w:ascii="Aptos" w:cs="Aptos" w:eastAsia="Aptos" w:hAnsi="Aptos"/>
          <w:b/>
          <w:bCs/>
          <w:color w:val="5A5A5A"/>
          <w:sz w:val="18"/>
          <w:szCs w:val="18"/>
        </w:rPr>
        <w:t xml:space="preserve">Dokumentkopf</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0"/>
        <w:gridCol w:w="2699"/>
        <w:gridCol w:w="2120"/>
        <w:gridCol w:w="2699"/>
      </w:tblGrid>
      <w:tr>
        <w:trPr>
          <w:tblHeader/>
        </w:trPr>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Feld</w:t>
            </w:r>
          </w:p>
        </w:tc>
        <w:tc>
          <w:tcPr>
            <w:tcW w:type="dxa" w:w="269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Eintrag</w:t>
            </w:r>
          </w:p>
        </w:tc>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Feld</w:t>
            </w:r>
          </w:p>
        </w:tc>
        <w:tc>
          <w:tcPr>
            <w:tcW w:type="dxa" w:w="269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Eintrag</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Haus</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Version, Datum</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Erstellt (Name, Funktion)</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Datum, Unterschrift</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Geprüft (Name, Funktion)</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Datum, Unterschrift</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Freigegeben (Direktion)</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Datum, Unterschrift</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A. Auditmandat der Direktion</w:t>
      </w:r>
    </w:p>
    <w:p>
      <w:pPr>
        <w:spacing w:after="140" w:before="0" w:line="300"/>
        <w:jc w:val="both"/>
      </w:pPr>
      <w:r>
        <w:rPr>
          <w:rFonts w:ascii="Aptos" w:cs="Aptos" w:eastAsia="Aptos" w:hAnsi="Aptos"/>
          <w:color w:val="1A1A1A"/>
          <w:sz w:val="21"/>
          <w:szCs w:val="21"/>
        </w:rPr>
        <w:t xml:space="preserve">Ein schriftliches Mandat ist gute Prüfpraxis, keine wörtliche Normforderung. Es regelt Prüfrecht, Zugang und Berichtsweg und schützt den Auditor vor Nachteilen aus seinen Befunden.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241"/>
        <w:gridCol w:w="3470"/>
        <w:gridCol w:w="1927"/>
      </w:tblGrid>
      <w:tr>
        <w:trPr>
          <w:tblHeader/>
        </w:trPr>
        <w:tc>
          <w:tcPr>
            <w:tcW w:type="dxa" w:w="424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Element</w:t>
            </w:r>
          </w:p>
        </w:tc>
        <w:tc>
          <w:tcPr>
            <w:tcW w:type="dxa" w:w="347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Regelung im Haus</w:t>
            </w:r>
          </w:p>
        </w:tc>
        <w:tc>
          <w:tcPr>
            <w:tcW w:type="dxa" w:w="192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Fundstelle (Dokument)</w:t>
            </w:r>
          </w:p>
        </w:tc>
      </w:tr>
      <w:tr>
        <w:trPr>
          <w:cantSplit/>
        </w:trPr>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Prüfrecht (Bereiche, Unterlagen, Personen)</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Zugang zu allen Bereichen, auch außerhalb der Öffnungszeiten (Spa, Technikräume)</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Berichtsweg: an die Direktion, Eingang in die Managementbewertung</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Schutz vor Nachteilen aus Befunden; Behebung liegt beim geprüften Bereich</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Zeitbudget: vereinbarte Jahresstunden, im Dienstplan sichtbar, vor Saisonspitzen geschützt</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Verankerung in der Stellenbeschreibung</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Unterschrift der Direktion, Datum</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B. Auditorenpool</w:t>
      </w:r>
    </w:p>
    <w:p>
      <w:pPr>
        <w:spacing w:after="140" w:before="0" w:line="300"/>
        <w:jc w:val="both"/>
      </w:pPr>
      <w:r>
        <w:rPr>
          <w:rFonts w:ascii="Aptos" w:cs="Aptos" w:eastAsia="Aptos" w:hAnsi="Aptos"/>
          <w:color w:val="1A1A1A"/>
          <w:sz w:val="21"/>
          <w:szCs w:val="21"/>
        </w:rPr>
        <w:t xml:space="preserve">Alle Personen eintragen, die im Programm prüfen: intern, extern oder über ein Kreuzaudit. Die eigenen Verantwortungsbereiche jeder Person werden hier festgehalten und in Teil D ausgeschlossen.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78"/>
        <w:gridCol w:w="1928"/>
        <w:gridCol w:w="1253"/>
        <w:gridCol w:w="2120"/>
        <w:gridCol w:w="1446"/>
        <w:gridCol w:w="1349"/>
        <w:gridCol w:w="964"/>
      </w:tblGrid>
      <w:tr>
        <w:trPr>
          <w:tblHeader/>
        </w:trPr>
        <w:tc>
          <w:tcPr>
            <w:tcW w:type="dxa" w:w="57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Nr.</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Name, Funktion</w:t>
            </w:r>
          </w:p>
        </w:tc>
        <w:tc>
          <w:tcPr>
            <w:tcW w:type="dxa" w:w="125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Art (intern / extern / Kreuzaudit)</w:t>
            </w:r>
          </w:p>
        </w:tc>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Eigene Verantwortungsbereiche (nicht prüfbar)</w:t>
            </w:r>
          </w:p>
        </w:tc>
        <w:tc>
          <w:tcPr>
            <w:tcW w:type="dxa" w:w="144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Hierarchische Abhängigkeit zu</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Stufe (Teil E3)</w:t>
            </w:r>
          </w:p>
        </w:tc>
        <w:tc>
          <w:tcPr>
            <w:tcW w:type="dxa" w:w="96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Jahres­stunden</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Beispiel (Kompositfall, anzupassen): Wartungsverantwortlicher</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intern</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Technik, Wartung, selbst betreute Anlagen</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Generaldirektor</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angeleitete Praxis</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2</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3</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4</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5</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6</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spacing w:after="140" w:before="0" w:line="300"/>
        <w:jc w:val="left"/>
      </w:pPr>
      <w:r>
        <w:rPr>
          <w:rFonts w:ascii="Aptos" w:cs="Aptos" w:eastAsia="Aptos" w:hAnsi="Aptos"/>
          <w:color w:val="1A1A1A"/>
          <w:sz w:val="21"/>
          <w:szCs w:val="21"/>
        </w:rPr>
        <w:t xml:space="preserve">Stellvertretung gegen Wissensverlust bei Personalwechsel (zweite Person, mindestens als Beobachterin): ______________________</w:t>
      </w:r>
    </w:p>
    <w:p>
      <w:pPr>
        <w:keepNext/>
        <w:spacing w:after="120" w:before="280"/>
      </w:pPr>
      <w:r>
        <w:rPr>
          <w:rFonts w:ascii="Aptos" w:cs="Aptos" w:eastAsia="Aptos" w:hAnsi="Aptos"/>
          <w:b/>
          <w:bCs/>
          <w:color w:val="8C5A2B"/>
          <w:sz w:val="26"/>
          <w:szCs w:val="26"/>
        </w:rPr>
        <w:t xml:space="preserve">C. Unparteilichkeitserklärung vor jedem Audit</w:t>
      </w:r>
    </w:p>
    <w:p>
      <w:pPr>
        <w:spacing w:after="140" w:before="0" w:line="300"/>
        <w:jc w:val="both"/>
      </w:pPr>
      <w:r>
        <w:rPr>
          <w:rFonts w:ascii="Aptos" w:cs="Aptos" w:eastAsia="Aptos" w:hAnsi="Aptos"/>
          <w:color w:val="1A1A1A"/>
          <w:sz w:val="21"/>
          <w:szCs w:val="21"/>
        </w:rPr>
        <w:t xml:space="preserve">Vor jedem Audit erklärt der Auditor kurz, welche Bereiche er in den letzten zwölf Monaten selbst gestaltet oder verantwortet hat. Beim Audit der Planung von Änderungen (6.3) gehören auch die Vorhaben dazu, an denen er beteiligt war.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53"/>
        <w:gridCol w:w="1349"/>
        <w:gridCol w:w="2410"/>
        <w:gridCol w:w="1735"/>
        <w:gridCol w:w="1638"/>
        <w:gridCol w:w="1253"/>
      </w:tblGrid>
      <w:tr>
        <w:trPr>
          <w:tblHeader/>
        </w:trPr>
        <w:tc>
          <w:tcPr>
            <w:tcW w:type="dxa" w:w="125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Audit (Nr., Datum)</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Auditor</w:t>
            </w:r>
          </w:p>
        </w:tc>
        <w:tc>
          <w:tcPr>
            <w:tcW w:type="dxa" w:w="241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Selbst gestaltet oder verantwortet (letzte zwölf Monate)</w:t>
            </w:r>
          </w:p>
        </w:tc>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Beteiligt an Vorhaben (6.3)</w:t>
            </w:r>
          </w:p>
        </w:tc>
        <w:tc>
          <w:tcPr>
            <w:tcW w:type="dxa" w:w="16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Abhängigkeit zu Auditierten</w:t>
            </w:r>
          </w:p>
        </w:tc>
        <w:tc>
          <w:tcPr>
            <w:tcW w:type="dxa" w:w="125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Unterschrift</w:t>
            </w:r>
          </w:p>
        </w:tc>
      </w:tr>
      <w:tr>
        <w:trPr>
          <w:cantSplit/>
        </w:trPr>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r>
        <w:br w:type="page"/>
      </w:r>
    </w:p>
    <w:p>
      <w:pPr>
        <w:keepNext/>
        <w:spacing w:after="120" w:before="280"/>
      </w:pPr>
      <w:r>
        <w:rPr>
          <w:rFonts w:ascii="Aptos" w:cs="Aptos" w:eastAsia="Aptos" w:hAnsi="Aptos"/>
          <w:b/>
          <w:bCs/>
          <w:color w:val="8C5A2B"/>
          <w:sz w:val="26"/>
          <w:szCs w:val="26"/>
        </w:rPr>
        <w:t xml:space="preserve">D. Unabhängigkeitsmatrix</w:t>
      </w:r>
    </w:p>
    <w:p>
      <w:pPr>
        <w:spacing w:after="140" w:before="0" w:line="300"/>
        <w:jc w:val="both"/>
      </w:pPr>
      <w:r>
        <w:rPr>
          <w:rFonts w:ascii="Aptos" w:cs="Aptos" w:eastAsia="Aptos" w:hAnsi="Aptos"/>
          <w:color w:val="1A1A1A"/>
          <w:sz w:val="21"/>
          <w:szCs w:val="21"/>
        </w:rPr>
        <w:t xml:space="preserve">Für jeden Bereich je Auditor ein Kürzel eintragen. Ein Bereich mit «X» geht an eine andere Person oder an ein Kreuzaudit. Jedes «A» braucht eine Begründung in der letzten Spalte.</w:t>
      </w:r>
    </w:p>
    <w:p>
      <w:pPr>
        <w:spacing w:after="140" w:before="0" w:line="300"/>
        <w:jc w:val="left"/>
      </w:pPr>
      <w:r>
        <w:rPr>
          <w:rFonts w:ascii="Aptos" w:cs="Aptos" w:eastAsia="Aptos" w:hAnsi="Aptos"/>
          <w:b/>
          <w:bCs/>
          <w:color w:val="1A1A1A"/>
          <w:sz w:val="21"/>
          <w:szCs w:val="21"/>
        </w:rPr>
        <w:t xml:space="preserve">Kürzel:</w:t>
      </w:r>
      <w:r>
        <w:rPr>
          <w:rFonts w:ascii="Aptos" w:cs="Aptos" w:eastAsia="Aptos" w:hAnsi="Aptos"/>
          <w:color w:val="1A1A1A"/>
          <w:sz w:val="21"/>
          <w:szCs w:val="21"/>
        </w:rPr>
        <w:t xml:space="preserve"> P = prüft · X = ausgeschlossen (eigene Verantwortung oder eigene Gestaltung) · A = hierarchische Abhängigkeit, nur mit Begründung und Zusatzmaßnahme · leer = nicht vorgesehen.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62"/>
        <w:gridCol w:w="1446"/>
        <w:gridCol w:w="771"/>
        <w:gridCol w:w="771"/>
        <w:gridCol w:w="771"/>
        <w:gridCol w:w="867"/>
        <w:gridCol w:w="1350"/>
      </w:tblGrid>
      <w:tr>
        <w:trPr>
          <w:tblHeader/>
        </w:trPr>
        <w:tc>
          <w:tcPr>
            <w:tcW w:type="dxa" w:w="366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Bereich / Klausel</w:t>
            </w:r>
          </w:p>
        </w:tc>
        <w:tc>
          <w:tcPr>
            <w:tcW w:type="dxa" w:w="144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Verantwortlich im Haus</w:t>
            </w:r>
          </w:p>
        </w:tc>
        <w:tc>
          <w:tcPr>
            <w:tcW w:type="dxa" w:w="7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Aud. 1</w:t>
            </w:r>
          </w:p>
        </w:tc>
        <w:tc>
          <w:tcPr>
            <w:tcW w:type="dxa" w:w="7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Aud. 2</w:t>
            </w:r>
          </w:p>
        </w:tc>
        <w:tc>
          <w:tcPr>
            <w:tcW w:type="dxa" w:w="7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Aud. 3</w:t>
            </w:r>
          </w:p>
        </w:tc>
        <w:tc>
          <w:tcPr>
            <w:tcW w:type="dxa" w:w="8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Extern</w:t>
            </w:r>
          </w:p>
        </w:tc>
        <w:tc>
          <w:tcPr>
            <w:tcW w:type="dxa" w:w="135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Begründung bei «A»</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Beispiel (Kompositfall, anzupassen): Betrieb (8.1), Technik</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Wartungsverantw.</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X</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P</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Kontext, Anwendungsbereich (4.1, 4.3)</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Führung (5)</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Umweltaspekte (6.1.2)</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Bindende Verpflichtungen (6.1.3)</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Risiken und Chancen, Maßnahmen (6.1.4, 6.1.5)</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Umweltziele (6.2)</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Planung von Änderungen (6.3), je Vorhaben</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Bewusstsein (7.3), dokumentierte Information (7.5)</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Betrieb (8.1): Technik</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Betrieb (8.1): Küche und Bankett</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Betrieb (8.1): Housekeeping und Wäsche</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Betrieb (8.1): Spa</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Betrieb (8.1): Einkauf, ausgelagerte Prozesse</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Betrieb (8.1): Rezeption, Gästekommunikation</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Notfallvorsorge (8.2)</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Überwachung und Messung (9.1)</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Internes Audit, Auditprogramm (9.2)</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Managementbewertung (9.3)</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Nichtkonformität und Korrekturmaßnahmen (10.2)</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spacing w:after="140" w:before="0" w:line="300"/>
        <w:jc w:val="both"/>
      </w:pPr>
      <w:r>
        <w:rPr>
          <w:rFonts w:ascii="Aptos" w:cs="Aptos" w:eastAsia="Aptos" w:hAnsi="Aptos"/>
          <w:i/>
          <w:iCs/>
          <w:color w:val="1A1A1A"/>
          <w:sz w:val="21"/>
          <w:szCs w:val="21"/>
        </w:rPr>
        <w:t xml:space="preserve">Ausfüllhinweis: Die Managementbewertung prüft möglichst eine Person, die vom Generaldirektor nicht beurteilt wird. Sonst wird die Abhängigkeit benannt (D2).</w:t>
      </w:r>
    </w:p>
    <w:p>
      <w:pPr>
        <w:keepNext/>
        <w:spacing w:after="90" w:before="200"/>
      </w:pPr>
      <w:r>
        <w:rPr>
          <w:rFonts w:ascii="Aptos" w:cs="Aptos" w:eastAsia="Aptos" w:hAnsi="Aptos"/>
          <w:b/>
          <w:bCs/>
          <w:color w:val="002060"/>
          <w:sz w:val="22"/>
          <w:szCs w:val="22"/>
        </w:rPr>
        <w:t xml:space="preserve">D2 Abhängigkeiten, die sich nicht auflösen lassen</w:t>
      </w:r>
    </w:p>
    <w:p>
      <w:pPr>
        <w:spacing w:after="140" w:before="0" w:line="300"/>
        <w:jc w:val="both"/>
      </w:pPr>
      <w:r>
        <w:rPr>
          <w:rFonts w:ascii="Aptos" w:cs="Aptos" w:eastAsia="Aptos" w:hAnsi="Aptos"/>
          <w:color w:val="1A1A1A"/>
          <w:sz w:val="21"/>
          <w:szCs w:val="21"/>
        </w:rPr>
        <w:t xml:space="preserve">In kleinen Häusern ist vollständige Unabhängigkeit oft nicht herstellbar. Herstellbar ist Transparenz: die Abhängigkeit im Programm benennen und für heikle Bereiche eine Lösung wählen.</w:t>
      </w:r>
    </w:p>
    <w:p>
      <w:pPr>
        <w:keepNext/>
        <w:spacing w:after="90" w:before="160"/>
      </w:pPr>
      <w:r>
        <w:rPr>
          <w:rFonts w:ascii="Aptos" w:cs="Aptos" w:eastAsia="Aptos" w:hAnsi="Aptos"/>
          <w:b/>
          <w:bCs/>
          <w:color w:val="5A5A5A"/>
          <w:sz w:val="18"/>
          <w:szCs w:val="18"/>
        </w:rPr>
        <w:t xml:space="preserve">Lösungen nach Tabelle 1 des Buches: externer Auditor, ausgebildete interne Person, Kreuzaudit im Ring zwischen drei Häusern (gemeinsamer Kriterienkatalog, Abzeichnung durch die Direktion), Zweierteam aus Methodik und Hotelbetrieb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2120"/>
        <w:gridCol w:w="2891"/>
        <w:gridCol w:w="1736"/>
      </w:tblGrid>
      <w:tr>
        <w:trPr>
          <w:tblHeader/>
        </w:trPr>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Abhängigkeit</w:t>
            </w:r>
          </w:p>
        </w:tc>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Betroffener Bereich</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Gewählte Lösung</w:t>
            </w:r>
          </w:p>
        </w:tc>
        <w:tc>
          <w:tcPr>
            <w:tcW w:type="dxa" w:w="173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Im Auditprogramm benannt am</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E. Kompetenznachweise</w:t>
      </w:r>
    </w:p>
    <w:p>
      <w:pPr>
        <w:spacing w:after="140" w:before="0" w:line="300"/>
        <w:jc w:val="both"/>
      </w:pPr>
      <w:r>
        <w:rPr>
          <w:rFonts w:ascii="Aptos" w:cs="Aptos" w:eastAsia="Aptos" w:hAnsi="Aptos"/>
          <w:color w:val="1A1A1A"/>
          <w:sz w:val="21"/>
          <w:szCs w:val="21"/>
        </w:rPr>
        <w:t xml:space="preserve">Das Kompetenzprofil folgt dem Auftrag: Wer bestimmte Klauseln prüft, muss genau dafür nachweisbar kompetent sein. Die Bewertung übernimmt nicht allein die Person, deren Bereich der Auditor prüft.</w:t>
      </w:r>
    </w:p>
    <w:p>
      <w:pPr>
        <w:keepNext/>
        <w:spacing w:after="90" w:before="200"/>
      </w:pPr>
      <w:r>
        <w:rPr>
          <w:rFonts w:ascii="Aptos" w:cs="Aptos" w:eastAsia="Aptos" w:hAnsi="Aptos"/>
          <w:b/>
          <w:bCs/>
          <w:color w:val="002060"/>
          <w:sz w:val="22"/>
          <w:szCs w:val="22"/>
        </w:rPr>
        <w:t xml:space="preserve">E1 Kompetenzprofil je Auditor</w:t>
      </w:r>
    </w:p>
    <w:p>
      <w:pPr>
        <w:spacing w:after="140" w:before="0" w:line="300"/>
        <w:jc w:val="left"/>
      </w:pPr>
      <w:r>
        <w:rPr>
          <w:rFonts w:ascii="Aptos" w:cs="Aptos" w:eastAsia="Aptos" w:hAnsi="Aptos"/>
          <w:color w:val="1A1A1A"/>
          <w:sz w:val="21"/>
          <w:szCs w:val="21"/>
        </w:rPr>
        <w:t xml:space="preserve">Auditor: _____________________</w:t>
      </w:r>
      <w:r>
        <w:rPr>
          <w:rFonts w:ascii="Aptos" w:cs="Aptos" w:eastAsia="Aptos" w:hAnsi="Aptos"/>
          <w:i/>
          <w:iCs/>
          <w:color w:val="1A1A1A"/>
          <w:sz w:val="21"/>
          <w:szCs w:val="21"/>
        </w:rPr>
        <w:t xml:space="preserve">   Profil erstellt am: </w:t>
      </w:r>
      <w:r>
        <w:rPr>
          <w:rFonts w:ascii="Aptos" w:cs="Aptos" w:eastAsia="Aptos" w:hAnsi="Aptos"/>
          <w:color w:val="1A1A1A"/>
          <w:sz w:val="21"/>
          <w:szCs w:val="21"/>
        </w:rPr>
        <w:t xml:space="preserve">__________</w:t>
      </w:r>
      <w:r>
        <w:rPr>
          <w:rFonts w:ascii="Aptos" w:cs="Aptos" w:eastAsia="Aptos" w:hAnsi="Aptos"/>
          <w:i/>
          <w:iCs/>
          <w:color w:val="1A1A1A"/>
          <w:sz w:val="21"/>
          <w:szCs w:val="21"/>
        </w:rPr>
        <w:t xml:space="preserve">   Bewertet von: </w:t>
      </w:r>
      <w:r>
        <w:rPr>
          <w:rFonts w:ascii="Aptos" w:cs="Aptos" w:eastAsia="Aptos" w:hAnsi="Aptos"/>
          <w:color w:val="1A1A1A"/>
          <w:sz w:val="21"/>
          <w:szCs w:val="21"/>
        </w:rPr>
        <w:t xml:space="preserve">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42"/>
        <w:gridCol w:w="3470"/>
        <w:gridCol w:w="1542"/>
        <w:gridCol w:w="1349"/>
        <w:gridCol w:w="1735"/>
      </w:tblGrid>
      <w:tr>
        <w:trPr>
          <w:tblHeader/>
        </w:trPr>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Dimension</w:t>
            </w:r>
          </w:p>
        </w:tc>
        <w:tc>
          <w:tcPr>
            <w:tcW w:type="dxa" w:w="347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Anforderung des Hauses</w:t>
            </w:r>
          </w:p>
        </w:tc>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Nachweis</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Stand (erfüllt / in Entwicklung)</w:t>
            </w:r>
          </w:p>
        </w:tc>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Entwicklungsmaßnahme</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Technisch-normativ</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Struktur und Logik der ISO 14001:2026, auch 6.1.4, 6.1.5, 6.3 und Abschnitt 10</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Technisch-normativ</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Umweltaspekte des Hauses: Energie, Wasser, Abfall, Emissionen, Lieferkette</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Technisch-normativ</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Vorschriften des Rechtsregisters; Unterschied zwischen Normanforderung und guter Praxis</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Methodisch</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Risikoorientierte Planung; operative Checklisten statt Normkopie</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Methodisch</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Nachweise aus Aufzeichnung, Befragung und Beobachtung; Klassifizierung; rückverfolgbarer Bericht</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Relational</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Befragung ohne Abwehr; Umgang mit Spannung; konstruktive Mitteilung, auch negativer Befunde</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Relational</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Objektivität gegenüber Kollegen; keine Abschwächung von Befunden</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Persönliches Verhalten</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Nach ISO 19011:2026, z. B. Berufsethik, offene Geisteshaltung, Beharrlichkeit</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90" w:before="200"/>
      </w:pPr>
      <w:r>
        <w:rPr>
          <w:rFonts w:ascii="Aptos" w:cs="Aptos" w:eastAsia="Aptos" w:hAnsi="Aptos"/>
          <w:b/>
          <w:bCs/>
          <w:color w:val="002060"/>
          <w:sz w:val="22"/>
          <w:szCs w:val="22"/>
        </w:rPr>
        <w:t xml:space="preserve">E2 Bereichsbezogene Kompetenz</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42"/>
        <w:gridCol w:w="4626"/>
        <w:gridCol w:w="2313"/>
        <w:gridCol w:w="1157"/>
      </w:tblGrid>
      <w:tr>
        <w:trPr>
          <w:tblHeader/>
        </w:trPr>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Bereich</w:t>
            </w:r>
          </w:p>
        </w:tc>
        <w:tc>
          <w:tcPr>
            <w:tcW w:type="dxa" w:w="462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Was der Auditor verstehen muss</w:t>
            </w:r>
          </w:p>
        </w:tc>
        <w:tc>
          <w:tcPr>
            <w:tcW w:type="dxa" w:w="23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Nachweis (Auditnotiz, Checkliste)</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Erfüllt?</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Technik</w:t>
            </w:r>
          </w:p>
        </w:tc>
        <w:tc>
          <w:tcPr>
            <w:tcW w:type="dxa" w:w="4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Wartungsprotokoll nach F-Gas-Verordnung lesen, überfällige Dichtheitsprüfung erkennen</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Küche</w:t>
            </w:r>
          </w:p>
        </w:tc>
        <w:tc>
          <w:tcPr>
            <w:tcW w:type="dxa" w:w="4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Entsorgungswege für Speisereste und Altfett samt Nachweisen</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Spa</w:t>
            </w:r>
          </w:p>
        </w:tc>
        <w:tc>
          <w:tcPr>
            <w:tcW w:type="dxa" w:w="4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Zusammenhang von Wasseraufbereitung, Chemikalienlagerung und Abwasser</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Einkauf</w:t>
            </w:r>
          </w:p>
        </w:tc>
        <w:tc>
          <w:tcPr>
            <w:tcW w:type="dxa" w:w="4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Anwendung festgelegter Umweltkriterien bei Bestellungen</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Rezeption</w:t>
            </w:r>
          </w:p>
        </w:tc>
        <w:tc>
          <w:tcPr>
            <w:tcW w:type="dxa" w:w="4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Gästeinformationen zu Umweltthemen, z. B. Handtuch- und Wäschewechsel</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Verkauf, Marketing</w:t>
            </w:r>
          </w:p>
        </w:tc>
        <w:tc>
          <w:tcPr>
            <w:tcW w:type="dxa" w:w="4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Umweltaussagen: DE und AT seit 27. September 2026 nach Umsetzung der Richtlinie (EU) 2024/825; CH Art. 3 Abs. 1 Bst. x UWG</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90" w:before="200"/>
      </w:pPr>
      <w:r>
        <w:rPr>
          <w:rFonts w:ascii="Aptos" w:cs="Aptos" w:eastAsia="Aptos" w:hAnsi="Aptos"/>
          <w:b/>
          <w:bCs/>
          <w:color w:val="002060"/>
          <w:sz w:val="22"/>
          <w:szCs w:val="22"/>
        </w:rPr>
        <w:t xml:space="preserve">E3 Stufen des Kompetenzaufbaus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62"/>
        <w:gridCol w:w="1349"/>
        <w:gridCol w:w="2313"/>
        <w:gridCol w:w="2314"/>
      </w:tblGrid>
      <w:tr>
        <w:trPr>
          <w:tblHeader/>
        </w:trPr>
        <w:tc>
          <w:tcPr>
            <w:tcW w:type="dxa" w:w="366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Stufe</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Erreicht am</w:t>
            </w:r>
          </w:p>
        </w:tc>
        <w:tc>
          <w:tcPr>
            <w:tcW w:type="dxa" w:w="23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Begleitung, Kontrolle durch</w:t>
            </w:r>
          </w:p>
        </w:tc>
        <w:tc>
          <w:tcPr>
            <w:tcW w:type="dxa" w:w="231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Nachweis</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Kurs für Auditoren von Umweltmanagementsystemen</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3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Beobachtung beim Audit der Zertifizierungsstelle</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3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Angeleitete Praxis (Teilaudit, ohne eigene Bereiche)</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3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Autonome Praxis (erstes vollständiges Audit)</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3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Jährliche Aktualisierung (Norm- und Rechtsänderungen, Ausgabe 2026)</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3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90" w:before="200"/>
      </w:pPr>
      <w:r>
        <w:rPr>
          <w:rFonts w:ascii="Aptos" w:cs="Aptos" w:eastAsia="Aptos" w:hAnsi="Aptos"/>
          <w:b/>
          <w:bCs/>
          <w:color w:val="002060"/>
          <w:sz w:val="22"/>
          <w:szCs w:val="22"/>
        </w:rPr>
        <w:t xml:space="preserve">E4 Bewertung nach jedem Audit</w:t>
      </w:r>
    </w:p>
    <w:p>
      <w:pPr>
        <w:spacing w:after="140" w:before="0" w:line="300"/>
        <w:jc w:val="both"/>
      </w:pPr>
      <w:r>
        <w:rPr>
          <w:rFonts w:ascii="Aptos" w:cs="Aptos" w:eastAsia="Aptos" w:hAnsi="Aptos"/>
          <w:color w:val="1A1A1A"/>
          <w:sz w:val="21"/>
          <w:szCs w:val="21"/>
        </w:rPr>
        <w:t xml:space="preserve">Aus dem Bericht werden zwei oder drei Befunde bis zu den Notizen des Auditors zurückverfolgt. Fehlt die Spur, fehlt die methodische Kompetenz, unabhängig vom Zertifikat.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49"/>
        <w:gridCol w:w="1638"/>
        <w:gridCol w:w="1638"/>
        <w:gridCol w:w="1638"/>
        <w:gridCol w:w="1638"/>
        <w:gridCol w:w="1737"/>
      </w:tblGrid>
      <w:tr>
        <w:trPr>
          <w:tblHeader/>
        </w:trPr>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Audit</w:t>
            </w:r>
          </w:p>
        </w:tc>
        <w:tc>
          <w:tcPr>
            <w:tcW w:type="dxa" w:w="16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Befunde rückverfolgbar?</w:t>
            </w:r>
          </w:p>
        </w:tc>
        <w:tc>
          <w:tcPr>
            <w:tcW w:type="dxa" w:w="16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Klassifizierung angemessen?</w:t>
            </w:r>
          </w:p>
        </w:tc>
        <w:tc>
          <w:tcPr>
            <w:tcW w:type="dxa" w:w="16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Nachweise vollständig?</w:t>
            </w:r>
          </w:p>
        </w:tc>
        <w:tc>
          <w:tcPr>
            <w:tcW w:type="dxa" w:w="16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Mitteilung verständlich?</w:t>
            </w:r>
          </w:p>
        </w:tc>
        <w:tc>
          <w:tcPr>
            <w:tcW w:type="dxa" w:w="173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Feedback am, durch</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F. Einsatzplanung</w:t>
      </w:r>
    </w:p>
    <w:p>
      <w:pPr>
        <w:spacing w:after="140" w:before="0" w:line="300"/>
        <w:jc w:val="both"/>
      </w:pPr>
      <w:r>
        <w:rPr>
          <w:rFonts w:ascii="Aptos" w:cs="Aptos" w:eastAsia="Aptos" w:hAnsi="Aptos"/>
          <w:color w:val="1A1A1A"/>
          <w:sz w:val="21"/>
          <w:szCs w:val="21"/>
        </w:rPr>
        <w:t xml:space="preserve">Vor der Freigabe wird jede Zeile gegen Teil D geprüft. Kein Auditor erhält einen Bereich mit «X». Die Stichprobe wird kurz begründet, etwa mit Saison, Risiko oder früheren Befunden.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71"/>
        <w:gridCol w:w="1157"/>
        <w:gridCol w:w="1928"/>
        <w:gridCol w:w="1349"/>
        <w:gridCol w:w="1157"/>
        <w:gridCol w:w="1928"/>
        <w:gridCol w:w="1348"/>
      </w:tblGrid>
      <w:tr>
        <w:trPr>
          <w:tblHeader/>
        </w:trPr>
        <w:tc>
          <w:tcPr>
            <w:tcW w:type="dxa" w:w="7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Audit</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Zeitraum</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Bereiche, Klauseln</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Auditor(en)</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Matrix geprüft (kein «X»)</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Begründung der Stichprobe</w:t>
            </w:r>
          </w:p>
        </w:tc>
        <w:tc>
          <w:tcPr>
            <w:tcW w:type="dxa" w:w="134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Stunden, Freistellung</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2</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3</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4</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5</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6</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Was diese Vorlage nicht ist</w:t>
      </w:r>
    </w:p>
    <w:p>
      <w:pPr>
        <w:spacing w:after="140" w:before="0" w:line="300"/>
        <w:jc w:val="both"/>
      </w:pPr>
      <w:r>
        <w:rPr>
          <w:rFonts w:ascii="Aptos" w:cs="Aptos" w:eastAsia="Aptos" w:hAnsi="Aptos"/>
          <w:color w:val="1A1A1A"/>
          <w:sz w:val="21"/>
          <w:szCs w:val="21"/>
        </w:rPr>
        <w:t xml:space="preserve">Diese Vorlage ersetzt weder den Normtext der ISO 14001:2026 noch die ISO 19011:2026 und ist keine Rechtsberatung. Mandat, Matrix und Kompetenzprofil sind gute Prüfpraxis und an die Größe und Organisation des eigenen Hauses anzupassen. Rechtsstand der genannten Angaben: 11. Oktober 2026.</w:t>
      </w:r>
    </w:p>
    <w:p>
      <w:pPr>
        <w:spacing w:after="140" w:before="0" w:line="300"/>
        <w:jc w:val="both"/>
      </w:pPr>
      <w:r>
        <w:rPr>
          <w:rFonts w:ascii="Aptos" w:cs="Aptos" w:eastAsia="Aptos" w:hAnsi="Aptos"/>
          <w:b/>
          <w:bCs/>
          <w:color w:val="1A1A1A"/>
          <w:sz w:val="21"/>
          <w:szCs w:val="21"/>
        </w:rPr>
        <w:t xml:space="preserve">Bezug im Buch:</w:t>
      </w:r>
      <w:r>
        <w:rPr>
          <w:rFonts w:ascii="Aptos" w:cs="Aptos" w:eastAsia="Aptos" w:hAnsi="Aptos"/>
          <w:color w:val="1A1A1A"/>
          <w:sz w:val="21"/>
          <w:szCs w:val="21"/>
        </w:rPr>
        <w:t xml:space="preserve"> Band 1b, Abschnitt 3.1 und Abschnitt 3.2.</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A5A5A"/>
        <w:sz w:val="16"/>
        <w:szCs w:val="16"/>
      </w:rPr>
      <w:t xml:space="preserve">Francesco Dore · Das Steuer und die Lupe · Band 1b · Seite </w:t>
    </w:r>
    <w:r>
      <w:rPr>
        <w:rFonts w:ascii="Aptos" w:cs="Aptos" w:eastAsia="Aptos" w:hAnsi="Aptos"/>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00206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Dore</dc:creator>
  <cp:lastModifiedBy>Un-named</cp:lastModifiedBy>
  <cp:revision>1</cp:revision>
  <dcterms:created xsi:type="dcterms:W3CDTF">2026-10-11T23:10:17.236Z</dcterms:created>
  <dcterms:modified xsi:type="dcterms:W3CDTF">2026-10-11T23:10:17.236Z</dcterms:modified>
</cp:coreProperties>
</file>

<file path=docProps/custom.xml><?xml version="1.0" encoding="utf-8"?>
<Properties xmlns="http://schemas.openxmlformats.org/officeDocument/2006/custom-properties" xmlns:vt="http://schemas.openxmlformats.org/officeDocument/2006/docPropsVTypes"/>
</file>