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VORLAGE ZU ABSCHNITT 3.3</w:t>
      </w:r>
    </w:p>
    <w:p>
      <w:pPr>
        <w:pStyle w:val="Heading1"/>
        <w:spacing w:after="120" w:line="360"/>
      </w:pPr>
      <w:r>
        <w:rPr>
          <w:rFonts w:ascii="Aptos" w:cs="Aptos" w:eastAsia="Aptos" w:hAnsi="Aptos"/>
          <w:b/>
          <w:bCs/>
          <w:color w:val="002060"/>
          <w:sz w:val="36"/>
          <w:szCs w:val="36"/>
        </w:rPr>
        <w:t xml:space="preserve">Umweltauditprogramm und Auditplan</w:t>
      </w:r>
    </w:p>
    <w:p>
      <w:pPr>
        <w:spacing w:after="200"/>
      </w:pPr>
      <w:r>
        <w:rPr>
          <w:rFonts w:ascii="Aptos" w:cs="Aptos" w:eastAsia="Aptos" w:hAnsi="Aptos"/>
          <w:i/>
          <w:iCs/>
          <w:color w:val="5A5A5A"/>
          <w:sz w:val="22"/>
          <w:szCs w:val="22"/>
        </w:rPr>
        <w:t xml:space="preserve">Risikobasiertes Jahresprogramm, Abdeckungsmatrix, Auditoren und Auditplan je Audittag</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3277"/>
        <w:gridCol w:w="1349"/>
        <w:gridCol w:w="1157"/>
        <w:gridCol w:w="1542"/>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Haus</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Geltungsbereich des Umweltmanagementsystems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Programmjahr</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Version</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313"/>
        <w:gridCol w:w="2120"/>
        <w:gridCol w:w="1349"/>
        <w:gridCol w:w="1736"/>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Name</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Funktion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173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Unterschrift</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Erstellt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Geprüft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Freigegeben (Direktion)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Zum Ausfüllen </w:t>
            </w:r>
            <w:r>
              <w:rPr>
                <w:rFonts w:ascii="Aptos" w:cs="Aptos" w:eastAsia="Aptos" w:hAnsi="Aptos"/>
                <w:color w:val="1A1A1A"/>
                <w:sz w:val="21"/>
                <w:szCs w:val="21"/>
              </w:rPr>
              <w:t xml:space="preserve">Die Vorlage hat zwei Ebenen. Teil A bis F bilden das Jahresprogramm, Teil G bis I den Plan für ein einzelnes Audit. Leere Zeilen sind Ausfüllfelder; nicht benötigte Zeilen streichen, fehlende ergänzen.</w:t>
            </w:r>
          </w:p>
        </w:tc>
      </w:tr>
    </w:tbl>
    <w:p>
      <w:pPr>
        <w:spacing w:after="120"/>
      </w:pPr>
    </w:p>
    <w:p>
      <w:pPr>
        <w:keepNext/>
        <w:spacing w:after="120" w:before="280"/>
      </w:pPr>
      <w:r>
        <w:rPr>
          <w:rFonts w:ascii="Aptos" w:cs="Aptos" w:eastAsia="Aptos" w:hAnsi="Aptos"/>
          <w:b/>
          <w:bCs/>
          <w:color w:val="8C5A2B"/>
          <w:sz w:val="26"/>
          <w:szCs w:val="26"/>
        </w:rPr>
        <w:t xml:space="preserve">A. Programmrahmen</w:t>
      </w:r>
    </w:p>
    <w:p>
      <w:pPr>
        <w:spacing w:after="140" w:before="0" w:line="300"/>
        <w:jc w:val="both"/>
      </w:pPr>
      <w:r>
        <w:rPr>
          <w:rFonts w:ascii="Aptos" w:cs="Aptos" w:eastAsia="Aptos" w:hAnsi="Aptos"/>
          <w:color w:val="1A1A1A"/>
          <w:sz w:val="21"/>
          <w:szCs w:val="21"/>
        </w:rPr>
        <w:t xml:space="preserve">Die Norm verlangt in Klausel 9.2, dass das Programm Häufigkeit, Methoden, Verantwortlichkeiten, Planungsanforderungen und Berichterstattung umfasst. Die rechte Spalte hält fest, wie das Haus diese Punkte regelt.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4241"/>
        <w:gridCol w:w="3277"/>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Element</w:t>
            </w:r>
          </w:p>
        </w:tc>
        <w:tc>
          <w:tcPr>
            <w:tcW w:type="dxa" w:w="42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Orientierung im Buch</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Festlegung im Haus</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Häufigkeit</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Mindestens ein vollständiges Audit im Jahr, dazu mögliche Teilaudits</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Methoden</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Dokumentenprüfung, Interviews, direkte Beobachtung; je Urteil Evidenzen aus mindestens zwei Quellen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Verantwortlichkeiten</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Programmverantwortliche Person; Auditoren nach Teil F</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Mandat</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Schriftlich durch die Direktion: Prüfrecht, Zugang, Berichtsweg, Schutz vor Nachteilen aus Befunden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Mitteilung des Plans</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 die Bereichsverantwortlichen mindestens zehn Tage im Voraus, mit Interviewkalender</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Berichterstattung</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Schriftlicher Bericht innerhalb von sieben Arbeitstagen nach Abschluss; Format und Frist vorab festlegen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Lage im Jahr</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 der Managementbewertung; einige Monate Abstand zur externen Überwachung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B. Risikoanalyse und Schwerpunkte</w:t>
      </w:r>
    </w:p>
    <w:p>
      <w:pPr>
        <w:spacing w:after="140" w:before="0" w:line="300"/>
        <w:jc w:val="both"/>
      </w:pPr>
      <w:r>
        <w:rPr>
          <w:rFonts w:ascii="Aptos" w:cs="Aptos" w:eastAsia="Aptos" w:hAnsi="Aptos"/>
          <w:color w:val="1A1A1A"/>
          <w:sz w:val="21"/>
          <w:szCs w:val="21"/>
        </w:rPr>
        <w:t xml:space="preserve">Das Programm beginnt beim Risikoprofil, nicht bei der Normstruktur. Für jeden Schwerpunkt steht fest, warum er gewählt wurde und welche Quelle das Risiko belegt. Quellen: Protokoll der Managementbewertung, frühere Audits, Veränderungen im Jahr, saisonales Profil. Jeder Befund und jeder Verbesserungshinweis der Zertifizierungsstelle erhält eine eigene Zeile.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53"/>
        <w:gridCol w:w="1853"/>
        <w:gridCol w:w="2410"/>
        <w:gridCol w:w="1668"/>
        <w:gridCol w:w="1112"/>
        <w:gridCol w:w="742"/>
      </w:tblGrid>
      <w:tr>
        <w:trPr>
          <w:tblHeader/>
        </w:trPr>
        <w:tc>
          <w:tcPr>
            <w:tcW w:type="dxa" w:w="18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18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Schwerpunkt</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Begründung</w:t>
            </w:r>
          </w:p>
        </w:tc>
        <w:tc>
          <w:tcPr>
            <w:tcW w:type="dxa" w:w="166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Quelle des Risikos</w:t>
            </w:r>
          </w:p>
        </w:tc>
        <w:tc>
          <w:tcPr>
            <w:tcW w:type="dxa" w:w="11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Gewicht (hoch, mittel, niedrig)</w:t>
            </w:r>
          </w:p>
        </w:tc>
        <w:tc>
          <w:tcPr>
            <w:tcW w:type="dxa" w:w="7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Std</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Register der Konformitätspflichten</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Erst nach einer Nichtkonformität aktualisiert; prüfen, ob die Aktualisierung jetzt systematisch erfolgt</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Protokoll der Managementbewertung</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hoch</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2,5</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C. Saisonprofil und Prüffenster</w:t>
      </w:r>
    </w:p>
    <w:p>
      <w:pPr>
        <w:spacing w:after="140" w:before="0" w:line="300"/>
        <w:jc w:val="both"/>
      </w:pPr>
      <w:r>
        <w:rPr>
          <w:rFonts w:ascii="Aptos" w:cs="Aptos" w:eastAsia="Aptos" w:hAnsi="Aptos"/>
          <w:color w:val="1A1A1A"/>
          <w:sz w:val="21"/>
          <w:szCs w:val="21"/>
        </w:rPr>
        <w:t xml:space="preserve">Jeder Bereich braucht ein Prüffenster, in dem seine Prozesse tatsächlich laufen. Mindestens ein Teil der operativen Prüfung liegt in der Zeit voller Auslastung, notfalls in mehreren kurzen Einsätzen.</w:t>
      </w:r>
    </w:p>
    <w:p>
      <w:pPr>
        <w:keepNext/>
        <w:spacing w:after="90" w:before="160"/>
      </w:pPr>
      <w:r>
        <w:rPr>
          <w:rFonts w:ascii="Aptos" w:cs="Aptos" w:eastAsia="Aptos" w:hAnsi="Aptos"/>
          <w:b/>
          <w:bCs/>
          <w:color w:val="5A5A5A"/>
          <w:sz w:val="18"/>
          <w:szCs w:val="18"/>
        </w:rPr>
        <w:t xml:space="preserve">Saisonprofil des Hauses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6"/>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Hochsaison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Nebensaison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Schließzeiten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Wochen mit Großveranstaltungen</w:t>
            </w:r>
          </w:p>
        </w:tc>
        <w:tc>
          <w:tcPr>
            <w:tcW w:type="dxa" w:w="19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Eintritt der Saisonkräfte</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3470"/>
        <w:gridCol w:w="2699"/>
        <w:gridCol w:w="1541"/>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Bereich</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Prüffrage an das Programm</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Geplanter Termin</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Küche und Bankett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Liegt ein Termin in einer Woche mit Großveranstaltungen?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Bankettkalender derselben Woche</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Housekeeping</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Werden neue Saisonkräfte in ihren ersten Wochen erfasst?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Gesprächsliste mit Eintrittsdatum</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Technik</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Fällt die Prüfung der Kälte- und Klimaanlagen in die Kühlperiode?</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Wartungsprotokolle des laufenden Sommers</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Außenbereiche und Pool</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Werden Bewässerung und Poolbetrieb in der Betriebssaison geprüft?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Begehungsnotiz mit Datum und Zählerständen</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Spa</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Wird zu Spitzenzeiten geprüft?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Zählerstände und Rückspülprotokolle derselben Tage</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Rezeption und Nachtdienst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Werden Abläufe der Nachtschicht geprüft, etwa Abschaltroutinen?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Beobachtungsnotiz mit Uhrzeit und Bereich</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Einkauf</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Kommt jedes Jahr mindestens ein kritischer Lieferant in die Stichprobe?</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Abdeckungsmatrix mit Rotation</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Direktion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Liegt das Audit vor der Managementbewertung?</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Protokoll mit Verweis auf den Auditbericht</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D. Abdeckungsmatrix über drei Jahre</w:t>
      </w:r>
    </w:p>
    <w:p>
      <w:pPr>
        <w:spacing w:after="140" w:before="0" w:line="300"/>
        <w:jc w:val="both"/>
      </w:pPr>
      <w:r>
        <w:rPr>
          <w:rFonts w:ascii="Aptos" w:cs="Aptos" w:eastAsia="Aptos" w:hAnsi="Aptos"/>
          <w:color w:val="1A1A1A"/>
          <w:sz w:val="21"/>
          <w:szCs w:val="21"/>
        </w:rPr>
        <w:t xml:space="preserve">Die Matrix ist das Gegengewicht zur Risikogewichtung. Sie zeigt, welche Klausel und welcher Bereich wann zuletzt in der Tiefe geprüft wurde. Eintrag je Jahr: </w:t>
      </w:r>
      <w:r>
        <w:rPr>
          <w:rFonts w:ascii="Aptos" w:cs="Aptos" w:eastAsia="Aptos" w:hAnsi="Aptos"/>
          <w:b/>
          <w:bCs/>
          <w:color w:val="1A1A1A"/>
          <w:sz w:val="21"/>
          <w:szCs w:val="21"/>
        </w:rPr>
        <w:t xml:space="preserve">T</w:t>
      </w:r>
      <w:r>
        <w:rPr>
          <w:rFonts w:ascii="Aptos" w:cs="Aptos" w:eastAsia="Aptos" w:hAnsi="Aptos"/>
          <w:color w:val="1A1A1A"/>
          <w:sz w:val="21"/>
          <w:szCs w:val="21"/>
        </w:rPr>
        <w:t xml:space="preserve"> = in der Tiefe, </w:t>
      </w:r>
      <w:r>
        <w:rPr>
          <w:rFonts w:ascii="Aptos" w:cs="Aptos" w:eastAsia="Aptos" w:hAnsi="Aptos"/>
          <w:b/>
          <w:bCs/>
          <w:color w:val="1A1A1A"/>
          <w:sz w:val="21"/>
          <w:szCs w:val="21"/>
        </w:rPr>
        <w:t xml:space="preserve">K</w:t>
      </w:r>
      <w:r>
        <w:rPr>
          <w:rFonts w:ascii="Aptos" w:cs="Aptos" w:eastAsia="Aptos" w:hAnsi="Aptos"/>
          <w:color w:val="1A1A1A"/>
          <w:sz w:val="21"/>
          <w:szCs w:val="21"/>
        </w:rPr>
        <w:t xml:space="preserve"> = kurz, leer = nicht geprüft.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1735"/>
        <w:gridCol w:w="867"/>
        <w:gridCol w:w="867"/>
        <w:gridCol w:w="867"/>
        <w:gridCol w:w="2218"/>
      </w:tblGrid>
      <w:tr>
        <w:trPr>
          <w:tblHeader/>
        </w:trPr>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Klausel / Bereich</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Zuletzt in der Tiefe (Datum)</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2</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c>
          <w:tcPr>
            <w:tcW w:type="dxa" w:w="22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Bemerkung</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4.1 bis 4.4 Kontext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5.1 bis 5.3 Führung, Politik, Rollen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6.1.1 Allgemeines</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6.1.2 Umweltaspekte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6.1.3 Konformitätspflichten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6.1.4 Risiken und Chancen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6.1.5 Planung von Maßnahmen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6.2 Ziele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6.3 Planung von Änderungen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7.1 bis 7.5 Unterstützung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8.1 Operative Steuerung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8.2 Notfallvorsorge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9.1 Monitoring und Messung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9.2 Internes Audit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9.3 Managementbewertung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10.1 Fortlaufende Verbesserung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10.2 Nichtkonformität und Korrekturmaßnahmen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Kritische Lieferanten (Rotation)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E. Auslöser für außerplanmäßige Audits</w:t>
      </w:r>
    </w:p>
    <w:p>
      <w:pPr>
        <w:spacing w:after="140" w:before="0" w:line="300"/>
        <w:jc w:val="both"/>
      </w:pPr>
      <w:r>
        <w:rPr>
          <w:rFonts w:ascii="Aptos" w:cs="Aptos" w:eastAsia="Aptos" w:hAnsi="Aptos"/>
          <w:color w:val="1A1A1A"/>
          <w:sz w:val="21"/>
          <w:szCs w:val="21"/>
        </w:rPr>
        <w:t xml:space="preserve">Die Auslöser werden im Programm festgelegt, nicht im Einzelfall erfunden.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542"/>
        <w:gridCol w:w="2120"/>
        <w:gridCol w:w="1542"/>
        <w:gridCol w:w="1543"/>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Auslöser</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Zutreffend? (ja / nein)</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Art der Prüfung</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15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Frist nach Eintritt</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Umweltvorfall</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Neuer Pächter für das Restaurant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Größerer Umbau</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Rechtsänderung mit unmittelbarer Wirkung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Geplante Änderung nach Klausel 6.3 umgesetzt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F. Auditoren und Unabhängigkeitsvermerk</w:t>
      </w:r>
    </w:p>
    <w:p>
      <w:pPr>
        <w:spacing w:after="140" w:before="0" w:line="300"/>
        <w:jc w:val="both"/>
      </w:pPr>
      <w:r>
        <w:rPr>
          <w:rFonts w:ascii="Aptos" w:cs="Aptos" w:eastAsia="Aptos" w:hAnsi="Aptos"/>
          <w:color w:val="1A1A1A"/>
          <w:sz w:val="21"/>
          <w:szCs w:val="21"/>
        </w:rPr>
        <w:t xml:space="preserve">Die Norm verlangt in Klausel 9.2, Auditoren so auszuwählen, dass Objektivität und Unparteilichkeit gewährleistet sind. Prozesse in eigener Verantwortung prüft ein anderer kompetenter und ausreichend unabhängiger Auditor. Hierarchische Abhängigkeiten werden hier offen benannt.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542"/>
        <w:gridCol w:w="1638"/>
        <w:gridCol w:w="1638"/>
        <w:gridCol w:w="1157"/>
        <w:gridCol w:w="1350"/>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Auditor (Name, Funktion)</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Kompetenz</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Klauseln / Bereiche</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Eigene Bereiche</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Prüfer dieser Bereiche</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Abhängigkeit</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 Wartungsverantwortlicher</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Kurs für Auditoren von Umweltmanagementsystemen</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Alle Klauseln außer den eigenen Bereichen</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Wartung, F-Gas-Register, präventiver Wartungsplan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Zweiter Auditor</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Unabhängigkeitsvermerk</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Gewählte Lösung (z. B. zweiter Auditor, Kreuzaudit, externer Auditor für einzelne Klauseln)</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Bereiche, in denen vollständige Unabhängigkeit nicht herstellbar ist, und Ausgleich</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Schriftliches Mandat der Direktion vom</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Vermerk geprüft (Name, Datum)</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G. Auditplan für das einzelne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Feld</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Audit-Nr. und Art (vollständig / Teilaudit / außerplanmäßig)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Auditbereich (Standorte, Bereiche, Prozesse)</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Auditkriterien (Norm, Verfahren des Hauses)</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Auditleitung und weitere Auditoren</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Plan mitgeteilt an Bereichsverantwortliche am</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Eröffnungssitzung (Datum, Uhrzeit; typischerweise 30 Minuten)</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Abschlusssitzung (Datum, Uhrzeit)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Frist für den schriftlichen Bericht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color w:val="1A1A1A"/>
          <w:sz w:val="21"/>
          <w:szCs w:val="21"/>
        </w:rPr>
        <w:t xml:space="preserve">Je Zeile ein Prüfblock. Evidenzquellen kürzen: </w:t>
      </w:r>
      <w:r>
        <w:rPr>
          <w:rFonts w:ascii="Aptos" w:cs="Aptos" w:eastAsia="Aptos" w:hAnsi="Aptos"/>
          <w:b/>
          <w:bCs/>
          <w:color w:val="1A1A1A"/>
          <w:sz w:val="21"/>
          <w:szCs w:val="21"/>
        </w:rPr>
        <w:t xml:space="preserve">D</w:t>
      </w:r>
      <w:r>
        <w:rPr>
          <w:rFonts w:ascii="Aptos" w:cs="Aptos" w:eastAsia="Aptos" w:hAnsi="Aptos"/>
          <w:color w:val="1A1A1A"/>
          <w:sz w:val="21"/>
          <w:szCs w:val="21"/>
        </w:rPr>
        <w:t xml:space="preserve"> = Dokument, </w:t>
      </w:r>
      <w:r>
        <w:rPr>
          <w:rFonts w:ascii="Aptos" w:cs="Aptos" w:eastAsia="Aptos" w:hAnsi="Aptos"/>
          <w:b/>
          <w:bCs/>
          <w:color w:val="1A1A1A"/>
          <w:sz w:val="21"/>
          <w:szCs w:val="21"/>
        </w:rPr>
        <w:t xml:space="preserve">I</w:t>
      </w:r>
      <w:r>
        <w:rPr>
          <w:rFonts w:ascii="Aptos" w:cs="Aptos" w:eastAsia="Aptos" w:hAnsi="Aptos"/>
          <w:color w:val="1A1A1A"/>
          <w:sz w:val="21"/>
          <w:szCs w:val="21"/>
        </w:rPr>
        <w:t xml:space="preserve"> = Interview mit [Rolle], </w:t>
      </w:r>
      <w:r>
        <w:rPr>
          <w:rFonts w:ascii="Aptos" w:cs="Aptos" w:eastAsia="Aptos" w:hAnsi="Aptos"/>
          <w:b/>
          <w:bCs/>
          <w:color w:val="1A1A1A"/>
          <w:sz w:val="21"/>
          <w:szCs w:val="21"/>
        </w:rPr>
        <w:t xml:space="preserve">B</w:t>
      </w:r>
      <w:r>
        <w:rPr>
          <w:rFonts w:ascii="Aptos" w:cs="Aptos" w:eastAsia="Aptos" w:hAnsi="Aptos"/>
          <w:color w:val="1A1A1A"/>
          <w:sz w:val="21"/>
          <w:szCs w:val="21"/>
        </w:rPr>
        <w:t xml:space="preserve"> = Beobachtung in [Bereich]. Je Urteil sind mindestens zwei Quellen vorgesehen.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16"/>
        <w:gridCol w:w="842"/>
        <w:gridCol w:w="1216"/>
        <w:gridCol w:w="1216"/>
        <w:gridCol w:w="2433"/>
        <w:gridCol w:w="1310"/>
        <w:gridCol w:w="842"/>
        <w:gridCol w:w="563"/>
      </w:tblGrid>
      <w:tr>
        <w:trPr>
          <w:tblHeader/>
        </w:trPr>
        <w:tc>
          <w:tcPr>
            <w:tcW w:type="dxa" w:w="12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Tag, Datum</w:t>
            </w:r>
          </w:p>
        </w:tc>
        <w:tc>
          <w:tcPr>
            <w:tcW w:type="dxa" w:w="8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Zeit</w:t>
            </w:r>
          </w:p>
        </w:tc>
        <w:tc>
          <w:tcPr>
            <w:tcW w:type="dxa" w:w="12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Klauseln</w:t>
            </w:r>
          </w:p>
        </w:tc>
        <w:tc>
          <w:tcPr>
            <w:tcW w:type="dxa" w:w="12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Bereich</w:t>
            </w:r>
          </w:p>
        </w:tc>
        <w:tc>
          <w:tcPr>
            <w:tcW w:type="dxa" w:w="2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Schwerpunkt und Evidenzquellen</w:t>
            </w:r>
          </w:p>
        </w:tc>
        <w:tc>
          <w:tcPr>
            <w:tcW w:type="dxa" w:w="13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Gespräch mit (Rolle)</w:t>
            </w:r>
          </w:p>
        </w:tc>
        <w:tc>
          <w:tcPr>
            <w:tcW w:type="dxa" w:w="8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Auditor</w:t>
            </w:r>
          </w:p>
        </w:tc>
        <w:tc>
          <w:tcPr>
            <w:tcW w:type="dxa" w:w="56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Std</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 Tag 2</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6.1.1 bis 6.1.5, 6.2, 6.3</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Planung</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Konformitätspflichten vorrangig: D aktualisiertes Register; I Nachhaltigkeitsbeauftragte; Abgleich mit Inkrafttretensdaten</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Nachhaltigkeitsbeauftragte</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7</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5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3181"/>
        <w:gridCol w:w="3180"/>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Summe der Auditstunden</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Davon Schwerpunkte aus Teil B</w:t>
            </w:r>
          </w:p>
        </w:tc>
        <w:tc>
          <w:tcPr>
            <w:tcW w:type="dxa" w:w="3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Davon Abschlusssitzung</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H. Stichprobenregel</w:t>
      </w:r>
    </w:p>
    <w:p>
      <w:pPr>
        <w:spacing w:after="140" w:before="0" w:line="300"/>
        <w:jc w:val="both"/>
      </w:pPr>
      <w:r>
        <w:rPr>
          <w:rFonts w:ascii="Aptos" w:cs="Aptos" w:eastAsia="Aptos" w:hAnsi="Aptos"/>
          <w:color w:val="1A1A1A"/>
          <w:sz w:val="21"/>
          <w:szCs w:val="21"/>
        </w:rPr>
        <w:t xml:space="preserve">Die Regel wird vor dem Audit festgelegt. Die Auswahl enthält Hoch- und Nebensaison sowie Tag- und Nachtbetrieb. Ein Teil der Gesprächspartner wird vor Ort spontan bestimmt; der Ablaufplan wird mitgeteilt, die Einzelfälle nicht vollständig.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2891"/>
        <w:gridCol w:w="1542"/>
        <w:gridCol w:w="1253"/>
        <w:gridCol w:w="1639"/>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Gegenstand</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Auswahlregel</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Hoch- / Nebensaison</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Tag / Nacht</w:t>
            </w:r>
          </w:p>
        </w:tc>
        <w:tc>
          <w:tcPr>
            <w:tcW w:type="dxa" w:w="16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Vor Ort spontan bestimmt</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Monate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Zimmer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Schichten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Lieferanten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Gesprächspartner (operatives Personal)</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Aufzeichnungen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I. Nachbetrachtung: Plan gegen Ergebnis</w:t>
      </w:r>
    </w:p>
    <w:p>
      <w:pPr>
        <w:spacing w:after="140" w:before="0" w:line="300"/>
        <w:jc w:val="both"/>
      </w:pPr>
      <w:r>
        <w:rPr>
          <w:rFonts w:ascii="Aptos" w:cs="Aptos" w:eastAsia="Aptos" w:hAnsi="Aptos"/>
          <w:color w:val="1A1A1A"/>
          <w:sz w:val="21"/>
          <w:szCs w:val="21"/>
        </w:rPr>
        <w:t xml:space="preserve">Ob die Gewichtung gestimmt hat, zeigt sich erst danach. Der Abgleich ist fester Punkt in der Vorbereitung des nächsten Programms.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964"/>
        <w:gridCol w:w="964"/>
        <w:gridCol w:w="1735"/>
        <w:gridCol w:w="1928"/>
        <w:gridCol w:w="1927"/>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Schwerpunkt / Bereich</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Std. Plan</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Std. Ist</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Interne Befunde</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Externe Befunde, die intern fehlten</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Folge für das nächste Programm</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3181"/>
        <w:gridCol w:w="3180"/>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Evidenzquellen je Urteil (Durchschnitt)</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Arbeitstage bis zur Berichtsabgabe</w:t>
            </w:r>
          </w:p>
        </w:tc>
        <w:tc>
          <w:tcPr>
            <w:tcW w:type="dxa" w:w="3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Geprüft von / am</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weder die ISO 14001:2026 noch die ISO 19011. Sie ist keine Rechtsberatung und keine Beratungsleistung. Das Haus passt Felder, Bereiche und Fristen an seine Größe und seinen Betrieb an. Rechtsstand: 11. Oktober 2026.</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1b, Abschnitt 3.3 (mit Tabelle 1 aus Abschnitt 3.1 und Tabelle 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2026-10-11T23:09:48.051Z</dcterms:created>
  <dcterms:modified xsi:type="dcterms:W3CDTF">2026-10-11T23:09:48.051Z</dcterms:modified>
</cp:coreProperties>
</file>

<file path=docProps/custom.xml><?xml version="1.0" encoding="utf-8"?>
<Properties xmlns="http://schemas.openxmlformats.org/officeDocument/2006/custom-properties" xmlns:vt="http://schemas.openxmlformats.org/officeDocument/2006/docPropsVTypes"/>
</file>