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VORLAGE ZU ABSCHNITT 3.11</w:t>
      </w:r>
    </w:p>
    <w:p>
      <w:pPr>
        <w:pStyle w:val="Heading1"/>
        <w:spacing w:after="120" w:line="360"/>
      </w:pPr>
      <w:r>
        <w:rPr>
          <w:rFonts w:ascii="Aptos" w:cs="Aptos" w:eastAsia="Aptos" w:hAnsi="Aptos"/>
          <w:b/>
          <w:bCs/>
          <w:color w:val="002060"/>
          <w:sz w:val="36"/>
          <w:szCs w:val="36"/>
        </w:rPr>
        <w:t xml:space="preserve">Nichtkonformität, Ursachenanalyse und Korrekturmaßnahme</w:t>
      </w:r>
    </w:p>
    <w:p>
      <w:pPr>
        <w:spacing w:after="200"/>
      </w:pPr>
      <w:r>
        <w:rPr>
          <w:rFonts w:ascii="Aptos" w:cs="Aptos" w:eastAsia="Aptos" w:hAnsi="Aptos"/>
          <w:i/>
          <w:iCs/>
          <w:color w:val="5A5A5A"/>
          <w:sz w:val="22"/>
          <w:szCs w:val="22"/>
        </w:rPr>
        <w:t xml:space="preserve">Register und Blatt je Befund: Sofortkorrektur, 5-Warum, Korrekturmaßnahme, Prävention, Wirksamkeitsprüfung, Klärungspunkt</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1928"/>
        <w:gridCol w:w="1542"/>
        <w:gridCol w:w="2313"/>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Haus</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Registerjahr</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Version</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2313"/>
        <w:gridCol w:w="2120"/>
        <w:gridCol w:w="1349"/>
        <w:gridCol w:w="1736"/>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 </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Name</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Funktion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c>
          <w:tcPr>
            <w:tcW w:type="dxa" w:w="173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Unterschrift</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Erstellt</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Geprüft</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Freigegeben (Direktion)</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Zum Ausfüllen </w:t>
            </w:r>
            <w:r>
              <w:rPr>
                <w:rFonts w:ascii="Aptos" w:cs="Aptos" w:eastAsia="Aptos" w:hAnsi="Aptos"/>
                <w:color w:val="1A1A1A"/>
                <w:sz w:val="21"/>
                <w:szCs w:val="21"/>
              </w:rPr>
              <w:t xml:space="preserve">Teil A ist das Register. Für jeden Befund wird ein Blatt nach Teil B angelegt; offene Fragen, die externe Fachkompetenz brauchen, laufen über Teil C. Ein Blatt ist erst geschlossen, wenn die Wirksamkeit nachgewiesen ist.</w:t>
            </w:r>
          </w:p>
        </w:tc>
      </w:tr>
    </w:tbl>
    <w:p>
      <w:pPr>
        <w:spacing w:after="120"/>
      </w:pPr>
    </w:p>
    <w:p>
      <w:pPr>
        <w:keepNext/>
        <w:spacing w:after="120" w:before="280"/>
      </w:pPr>
      <w:r>
        <w:rPr>
          <w:rFonts w:ascii="Aptos" w:cs="Aptos" w:eastAsia="Aptos" w:hAnsi="Aptos"/>
          <w:b/>
          <w:bCs/>
          <w:color w:val="8C5A2B"/>
          <w:sz w:val="26"/>
          <w:szCs w:val="26"/>
        </w:rPr>
        <w:t xml:space="preserve">A. Nichtkonformitätenregister</w:t>
      </w:r>
    </w:p>
    <w:p>
      <w:pPr>
        <w:spacing w:after="140" w:before="0" w:line="300"/>
        <w:jc w:val="both"/>
      </w:pPr>
      <w:r>
        <w:rPr>
          <w:rFonts w:ascii="Aptos" w:cs="Aptos" w:eastAsia="Aptos" w:hAnsi="Aptos"/>
          <w:color w:val="1A1A1A"/>
          <w:sz w:val="21"/>
          <w:szCs w:val="21"/>
        </w:rPr>
        <w:t xml:space="preserve">Das Register gehört als fester Quartalspunkt auf die Agenda des Nachhaltigkeitsausschusses. Auch Befunde der Zertifizierungsstelle erhalten ein eigenes Blatt.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67"/>
        <w:gridCol w:w="867"/>
        <w:gridCol w:w="1542"/>
        <w:gridCol w:w="2120"/>
        <w:gridCol w:w="964"/>
        <w:gridCol w:w="771"/>
        <w:gridCol w:w="771"/>
        <w:gridCol w:w="771"/>
        <w:gridCol w:w="965"/>
      </w:tblGrid>
      <w:tr>
        <w:trPr>
          <w:tblHeader/>
        </w:trPr>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Blatt-Nr.</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Quelle (internes / externes Audit, Beschwerde, Vorfall)</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Kurzbeschreibung</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Einstufung</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Wdh. (Nr.)</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Frist</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Status</w:t>
            </w:r>
          </w:p>
        </w:tc>
        <w:tc>
          <w:tcPr>
            <w:tcW w:type="dxa" w:w="96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Wirksam bestätigt am</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B. Blatt je Befund</w:t>
      </w:r>
    </w:p>
    <w:p>
      <w:pPr>
        <w:keepNext/>
        <w:spacing w:after="90" w:before="200"/>
      </w:pPr>
      <w:r>
        <w:rPr>
          <w:rFonts w:ascii="Aptos" w:cs="Aptos" w:eastAsia="Aptos" w:hAnsi="Aptos"/>
          <w:b/>
          <w:bCs/>
          <w:color w:val="002060"/>
          <w:sz w:val="22"/>
          <w:szCs w:val="22"/>
        </w:rPr>
        <w:t xml:space="preserve">B1. Feststellung und Einstufung</w:t>
      </w:r>
    </w:p>
    <w:p>
      <w:pPr>
        <w:spacing w:after="140" w:before="0" w:line="300"/>
        <w:jc w:val="both"/>
      </w:pPr>
      <w:r>
        <w:rPr>
          <w:rFonts w:ascii="Aptos" w:cs="Aptos" w:eastAsia="Aptos" w:hAnsi="Aptos"/>
          <w:color w:val="1A1A1A"/>
          <w:sz w:val="21"/>
          <w:szCs w:val="21"/>
        </w:rPr>
        <w:t xml:space="preserve">Die Einstufung richtet sich nach Anforderung und Nachweis, nicht nach Verhandlung. Schwer: systemischer Ausfall oder Fehlen einer grundlegenden Anforderung. Leicht: punktuelle Anomalie in einem sonst funktionierenden System. Beobachtung: Verbesserungsbereich ohne aktuelle Abweichung. Schwer und leicht unterscheidet die ISO/IEC 17021-1; die Beobachtung ist übliche Praxis, keine eigene Kategorie der Norm.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5205"/>
      </w:tblGrid>
      <w:tr>
        <w:trPr>
          <w:tblHeader/>
        </w:trPr>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Feld</w:t>
            </w:r>
          </w:p>
        </w:tc>
        <w:tc>
          <w:tcPr>
            <w:tcW w:type="dxa" w:w="52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Blatt-Nr., Datum, Quelle</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Bereich, Prozess</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Anforderung (Klausel, Verfahren, Konformitätspflicht)</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Beschreibung der Feststellung</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Nachweis (Dokument, Interview mit [Rolle], Beobachtung in [Bereich])</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Einstufung: ☐ schwer ☐ leicht ☐ Beobachtung ☐ Klärungspunkt (Teil C)</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Begründung der Einstufung (Anforderung und Nachweis)</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Wiederholung? ☐ nein ☐ ja, frühere Blätter Nr.</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Rechtlicher Bezug? ☐ nein ☐ Elektroaltgeräte / Sonderabfall ☐ F-Gase ☐ Abwasser ☐ anderer</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B2. Reaktion und Sofortkorrektur</w:t>
      </w:r>
    </w:p>
    <w:p>
      <w:pPr>
        <w:spacing w:after="140" w:before="0" w:line="300"/>
        <w:jc w:val="both"/>
      </w:pPr>
      <w:r>
        <w:rPr>
          <w:rFonts w:ascii="Aptos" w:cs="Aptos" w:eastAsia="Aptos" w:hAnsi="Aptos"/>
          <w:color w:val="1A1A1A"/>
          <w:sz w:val="21"/>
          <w:szCs w:val="21"/>
        </w:rPr>
        <w:t xml:space="preserve">Die Norm verlangt in Klausel 10.2, auf die Nichtkonformität zu reagieren, sie zu beherrschen und zu korrigieren und ihre Folgen einschließlich nachteiliger Umweltauswirkungen zu behandeln. Die Sofortkorrektur beseitigt den Einzelfall, nicht die Ursache.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2506"/>
        <w:gridCol w:w="1253"/>
        <w:gridCol w:w="1157"/>
        <w:gridCol w:w="1831"/>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Maßnahme</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Folgen und Umweltauswirkungen behandelt</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Wer</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Erledigt am</w:t>
            </w:r>
          </w:p>
        </w:tc>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Nachweis</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B3. Analysetiefe festlegen</w:t>
      </w:r>
    </w:p>
    <w:p>
      <w:pPr>
        <w:spacing w:after="140" w:before="0" w:line="300"/>
        <w:jc w:val="both"/>
      </w:pPr>
      <w:r>
        <w:rPr>
          <w:rFonts w:ascii="Aptos" w:cs="Aptos" w:eastAsia="Aptos" w:hAnsi="Aptos"/>
          <w:color w:val="1A1A1A"/>
          <w:sz w:val="21"/>
          <w:szCs w:val="21"/>
        </w:rPr>
        <w:t xml:space="preserve">Die Tiefe richtet sich nach Schwere und Systemizität. Eine Wiederholung verlangt eine tiefere Analyse, unabhängig von der formalen Schwere.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4819"/>
        <w:gridCol w:w="1542"/>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Lage</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Analysetiefe nach dem Buch</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Zutreffend (ankreuzen)</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Erstmalig, episodisch, einfache Ursache</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Kurze 5-Warum-Analyse, oft zwei Ebenen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Wiederholung (zweites Auftreten oder mehr)</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Vertiefte 5-Warum-Analyse bis zur Verfahrensebene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Schwer oder systemisch, mit signifikanter Umweltauswirkung</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Ursache-Wirkungs-Diagramm (Ishikawa) oder FMEA</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Elektroaltgeräte, Sonderabfallklassifizierung</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Vollständige Analyse bis zur Verfahrensebene; rechtliche Fachkompetenz</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F-Gas-Dokumentation</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Prävention zwingend: alle Einträge des Jahres auf Vollständigkeit prüfen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Abwasserqualität</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Sofortige Eskalation an die Geschäftsführung und externe Fachunterstützung statt interner Ursachenanalyse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t>
            </w:r>
          </w:p>
        </w:tc>
      </w:tr>
    </w:tbl>
    <w:p>
      <w:pPr>
        <w:spacing w:after="140"/>
      </w:pPr>
    </w:p>
    <w:p>
      <w:pPr>
        <w:keepNext/>
        <w:spacing w:after="90" w:before="200"/>
      </w:pPr>
      <w:r>
        <w:rPr>
          <w:rFonts w:ascii="Aptos" w:cs="Aptos" w:eastAsia="Aptos" w:hAnsi="Aptos"/>
          <w:b/>
          <w:bCs/>
          <w:color w:val="002060"/>
          <w:sz w:val="22"/>
          <w:szCs w:val="22"/>
        </w:rPr>
        <w:t xml:space="preserve">B4. Ursachenanalyse (5-Warum)</w:t>
      </w:r>
    </w:p>
    <w:p>
      <w:pPr>
        <w:spacing w:after="140" w:before="0" w:line="300"/>
        <w:jc w:val="both"/>
      </w:pPr>
      <w:r>
        <w:rPr>
          <w:rFonts w:ascii="Aptos" w:cs="Aptos" w:eastAsia="Aptos" w:hAnsi="Aptos"/>
          <w:color w:val="1A1A1A"/>
          <w:sz w:val="21"/>
          <w:szCs w:val="21"/>
        </w:rPr>
        <w:t xml:space="preserve">Die 5-Warum-Methode ist ein mögliches Werkzeug, kein vorgeschriebenes ISO-Verfahren. Jede Antwort braucht einen Nachweis; eine Kette aus Vermutungen endet leicht bei der falschen Ursache. Ebenen streichen, die nicht gebraucht werden.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2209"/>
        <w:gridCol w:w="2811"/>
        <w:gridCol w:w="1807"/>
        <w:gridCol w:w="1205"/>
      </w:tblGrid>
      <w:tr>
        <w:trPr>
          <w:tblHeader/>
        </w:trPr>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Ebene</w:t>
            </w:r>
          </w:p>
        </w:tc>
        <w:tc>
          <w:tcPr>
            <w:tcW w:type="dxa" w:w="22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Warum?</w:t>
            </w:r>
          </w:p>
        </w:tc>
        <w:tc>
          <w:tcPr>
            <w:tcW w:type="dxa" w:w="281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Antwort</w:t>
            </w:r>
          </w:p>
        </w:tc>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Nachweis</w:t>
            </w:r>
          </w:p>
        </w:tc>
        <w:tc>
          <w:tcPr>
            <w:tcW w:type="dxa" w:w="12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Belegt / vermutet</w:t>
            </w:r>
          </w:p>
        </w:tc>
      </w:tr>
      <w:tr>
        <w:trPr>
          <w:cantSplit/>
        </w:trPr>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Beispiel (Kompositfall, anzupassen)</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Warum fehlte der Durchflussbegrenzer im Zimmer?</w:t>
            </w:r>
          </w:p>
        </w:tc>
        <w:tc>
          <w:tcPr>
            <w:tcW w:type="dxa" w:w="28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Bei einem Wartungseingriff am Duschkopf entfernt und nicht wieder eingebaut</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Wartungsauftrag</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belegt</w:t>
            </w:r>
          </w:p>
        </w:tc>
      </w:tr>
      <w:tr>
        <w:trPr>
          <w:cantSplit/>
        </w:trPr>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5</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5205"/>
      </w:tblGrid>
      <w:tr>
        <w:trPr>
          <w:tblHeader/>
        </w:trPr>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Ergebnis der Analyse</w:t>
            </w:r>
          </w:p>
        </w:tc>
        <w:tc>
          <w:tcPr>
            <w:tcW w:type="dxa" w:w="52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Tiefenursache</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Ebene: ☐ Person ☐ Verfahren ☐ Prozess ☐ Organisationsstruktur</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Hat sich seit der letzten Analyse am Betrieb etwas geändert (Angebot, Lieferanten, Belegung)?</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Falls keine weitergehende Maßnahme nötig: nachvollziehbare Begründung</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B5. Sofortkorrektur, Korrekturmaßnahme und Prävention</w:t>
      </w:r>
    </w:p>
    <w:p>
      <w:pPr>
        <w:spacing w:after="140" w:before="0" w:line="300"/>
        <w:jc w:val="both"/>
      </w:pPr>
      <w:r>
        <w:rPr>
          <w:rFonts w:ascii="Aptos" w:cs="Aptos" w:eastAsia="Aptos" w:hAnsi="Aptos"/>
          <w:color w:val="1A1A1A"/>
          <w:sz w:val="21"/>
          <w:szCs w:val="21"/>
        </w:rPr>
        <w:t xml:space="preserve">Die Korrekturmaßnahme setzt an der Ursache an. Die Prävention prüft analoge Bereiche: Die Norm verlangt in Klausel 10.2 zu bewerten, ob der Befund ähnliche Nichtkonformitäten in anderen Systembereichen offenbart. Die Maßnahmen müssen den Auswirkungen angemessen sein.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3470"/>
        <w:gridCol w:w="1253"/>
        <w:gridCol w:w="867"/>
        <w:gridCol w:w="964"/>
        <w:gridCol w:w="1156"/>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Ebene</w:t>
            </w:r>
          </w:p>
        </w:tc>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Maßnahme</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Verantwortlich</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Frist</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Erledigt am</w:t>
            </w:r>
          </w:p>
        </w:tc>
        <w:tc>
          <w:tcPr>
            <w:tcW w:type="dxa" w:w="115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Nachweis</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Beispiel (Kompositfall, anzupassen)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Sofortkorrektur: Begrenzer eingebaut. Korrekturmaßnahme: Checkliste für Badezimmereingriffe mit Schlussprüfung des Begrenzers. Prävention: Durchflussmessung in einer Stichprobe aller Zimmer</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Technik</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Sofortkorrektur</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Korrekturmaßnahme (Ursache)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Prävention (analoge Bereiche)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Änderung des Umweltmanagementsystems, falls notwendig</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Weitere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Weitere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B6. Wirksamkeitsprüfung</w:t>
      </w:r>
    </w:p>
    <w:p>
      <w:pPr>
        <w:spacing w:after="140" w:before="0" w:line="300"/>
        <w:jc w:val="both"/>
      </w:pPr>
      <w:r>
        <w:rPr>
          <w:rFonts w:ascii="Aptos" w:cs="Aptos" w:eastAsia="Aptos" w:hAnsi="Aptos"/>
          <w:color w:val="1A1A1A"/>
          <w:sz w:val="21"/>
          <w:szCs w:val="21"/>
        </w:rPr>
        <w:t xml:space="preserve">Die Prüfung wird zugleich mit der Maßnahme geplant: Methode, Verantwortlicher, Termin. Geprüft wird die Veränderung im Betrieb, nicht die Unterschrift auf dem Blatt. Die Stichprobe geht über den Ursprungsfall hinaus. Ist der Auditor für den geprüften Prozess selbst verantwortlich, bestätigt eine andere Person.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5205"/>
      </w:tblGrid>
      <w:tr>
        <w:trPr>
          <w:tblHeader/>
        </w:trPr>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Feld</w:t>
            </w:r>
          </w:p>
        </w:tc>
        <w:tc>
          <w:tcPr>
            <w:tcW w:type="dxa" w:w="52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Methode (Beobachtung, ausgefüllte Exemplare, Messung, Interview)</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Stichprobe über den Ursprungsfall hinaus</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Verantwortlich für die Prüfung (nicht die umsetzende Person)</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Termin</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Audit Trail (Auftrag, ausgefüllte Aufzeichnung, Messung im Betrieb)</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Ergebnis: ☐ wirksam ☐ nicht wirksam, neue Analyse ab B4</w:t>
            </w:r>
          </w:p>
        </w:tc>
        <w:tc>
          <w:tcPr>
            <w:tcW w:type="dxa" w:w="5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2506"/>
        <w:gridCol w:w="1735"/>
        <w:gridCol w:w="2506"/>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Abschluss des Blatts</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Name</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Unterschrift</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Wirksamkeit bestätigt</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Blatt geschlossen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C. Klärungspunkt</w:t>
      </w:r>
    </w:p>
    <w:p>
      <w:pPr>
        <w:spacing w:after="140" w:before="0" w:line="300"/>
        <w:jc w:val="both"/>
      </w:pPr>
      <w:r>
        <w:rPr>
          <w:rFonts w:ascii="Aptos" w:cs="Aptos" w:eastAsia="Aptos" w:hAnsi="Aptos"/>
          <w:color w:val="1A1A1A"/>
          <w:sz w:val="21"/>
          <w:szCs w:val="21"/>
        </w:rPr>
        <w:t xml:space="preserve">Für Befunde, die intern nicht vollständig analysierbar sind. Ob eine Nichtkonformität vorliegt, wird nach der Rückmeldung der Fachstelle entschieden. Eine überschrittene Frist wird als Verlängerung mit Begründung dokumentiert.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90"/>
        <w:gridCol w:w="1890"/>
        <w:gridCol w:w="1417"/>
        <w:gridCol w:w="945"/>
        <w:gridCol w:w="850"/>
        <w:gridCol w:w="1323"/>
        <w:gridCol w:w="1323"/>
      </w:tblGrid>
      <w:tr>
        <w:trPr>
          <w:tblHeader/>
        </w:trPr>
        <w:tc>
          <w:tcPr>
            <w:tcW w:type="dxa" w:w="18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Gegenstand</w:t>
            </w:r>
          </w:p>
        </w:tc>
        <w:tc>
          <w:tcPr>
            <w:tcW w:type="dxa" w:w="18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Offene Frage</w:t>
            </w:r>
          </w:p>
        </w:tc>
        <w:tc>
          <w:tcPr>
            <w:tcW w:type="dxa" w:w="14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Beauftragte Fachstelle (Funktion)</w:t>
            </w:r>
          </w:p>
        </w:tc>
        <w:tc>
          <w:tcPr>
            <w:tcW w:type="dxa" w:w="9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Angefragt am</w:t>
            </w:r>
          </w:p>
        </w:tc>
        <w:tc>
          <w:tcPr>
            <w:tcW w:type="dxa" w:w="8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Interne Frist</w:t>
            </w:r>
          </w:p>
        </w:tc>
        <w:tc>
          <w:tcPr>
            <w:tcW w:type="dxa" w:w="132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Verlängerung mit Begründung</w:t>
            </w:r>
          </w:p>
        </w:tc>
        <w:tc>
          <w:tcPr>
            <w:tcW w:type="dxa" w:w="132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Entscheidung (NK ja / nein, Blatt-Nr.)</w:t>
            </w:r>
          </w:p>
        </w:tc>
      </w:tr>
      <w:tr>
        <w:trPr>
          <w:cantSplit/>
        </w:trPr>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Beispiel (Kompositfall, anzupassen): Einstufung eines ausgedienten Kühlgeräts</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Herkunft, Kältemittel, gefährliche Bestandteile, Entsorgernachweise</w:t>
            </w:r>
          </w:p>
        </w:tc>
        <w:tc>
          <w:tcPr>
            <w:tcW w:type="dxa" w:w="1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Umweltrechtsspezialist</w:t>
            </w:r>
          </w:p>
        </w:tc>
        <w:tc>
          <w:tcPr>
            <w:tcW w:type="dxa" w:w="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30 Tage</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Kontakt in der Folgewoche geplant</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8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D. Steuerung des Registers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Vermerk der Direktion </w:t>
            </w:r>
            <w:r>
              <w:rPr>
                <w:rFonts w:ascii="Aptos" w:cs="Aptos" w:eastAsia="Aptos" w:hAnsi="Aptos"/>
                <w:color w:val="1A1A1A"/>
                <w:sz w:val="21"/>
                <w:szCs w:val="21"/>
              </w:rPr>
              <w:t xml:space="preserve">Feststellungen dienen der Verbesserung des Systems. Sie fließen nicht in die Leistungsbeurteilung einzelner Mitarbeitender ein. Datum und Unterschrift der Direktion: ____________________</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12"/>
        <w:gridCol w:w="1157"/>
        <w:gridCol w:w="1157"/>
        <w:gridCol w:w="1157"/>
        <w:gridCol w:w="1155"/>
      </w:tblGrid>
      <w:tr>
        <w:trPr>
          <w:tblHeader/>
        </w:trPr>
        <w:tc>
          <w:tcPr>
            <w:tcW w:type="dxa" w:w="5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Kennzahl (je Quartal)</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Q1</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Q2</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Q3</w:t>
            </w:r>
          </w:p>
        </w:tc>
        <w:tc>
          <w:tcPr>
            <w:tcW w:type="dxa" w:w="11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Q4</w:t>
            </w:r>
          </w:p>
        </w:tc>
      </w:tr>
      <w:tr>
        <w:trPr>
          <w:cantSplit/>
        </w:trPr>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Blätter, die mehr als 30 Tage über die Frist der Korrekturmaßnahme offen sind</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Rezidivrate: Anteil der Nichtkonformitäten, deren Kategorie auch im Folgejahr auftritt</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Anteil der Blätter mit dokumentierter Wirksamkeitsprüfung</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Verhältnis Beobachtungen zu Nichtkonformitäten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Beobachtungen, die sich inhaltlich über mehrere Jahre gleichen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Kosten wiederholter Nichtkonformitäten je Kategorie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 Vorlage nicht ist</w:t>
      </w:r>
    </w:p>
    <w:p>
      <w:pPr>
        <w:spacing w:after="140" w:before="0" w:line="300"/>
        <w:jc w:val="both"/>
      </w:pPr>
      <w:r>
        <w:rPr>
          <w:rFonts w:ascii="Aptos" w:cs="Aptos" w:eastAsia="Aptos" w:hAnsi="Aptos"/>
          <w:color w:val="1A1A1A"/>
          <w:sz w:val="21"/>
          <w:szCs w:val="21"/>
        </w:rPr>
        <w:t xml:space="preserve">Diese Vorlage ersetzt nicht die ISO 14001:2026. Sie ist keine Rechtsberatung; bei Abfall-, F-Gas- und Abwasserfragen entscheidet die geltende Rechtslage, an der geltenden Fassung zu prüfen. Das Haus passt Felder und Fristen an seine Organisation an. Rechtsstand: 11. Oktober 2026.</w:t>
      </w:r>
    </w:p>
    <w:p>
      <w:pPr>
        <w:spacing w:after="140" w:before="0" w:line="300"/>
        <w:jc w:val="both"/>
      </w:pPr>
      <w:r>
        <w:rPr>
          <w:rFonts w:ascii="Aptos" w:cs="Aptos" w:eastAsia="Aptos" w:hAnsi="Aptos"/>
          <w:b/>
          <w:bCs/>
          <w:color w:val="1A1A1A"/>
          <w:sz w:val="21"/>
          <w:szCs w:val="21"/>
        </w:rPr>
        <w:t xml:space="preserve">Bezug im Buch:</w:t>
      </w:r>
      <w:r>
        <w:rPr>
          <w:rFonts w:ascii="Aptos" w:cs="Aptos" w:eastAsia="Aptos" w:hAnsi="Aptos"/>
          <w:color w:val="1A1A1A"/>
          <w:sz w:val="21"/>
          <w:szCs w:val="21"/>
        </w:rPr>
        <w:t xml:space="preserve"> Band 1b, Abschnitt 3.11 (Tabelle 12).</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2026-10-11T23:09:48.881Z</dcterms:created>
  <dcterms:modified xsi:type="dcterms:W3CDTF">2026-10-11T23:09:48.882Z</dcterms:modified>
</cp:coreProperties>
</file>

<file path=docProps/custom.xml><?xml version="1.0" encoding="utf-8"?>
<Properties xmlns="http://schemas.openxmlformats.org/officeDocument/2006/custom-properties" xmlns:vt="http://schemas.openxmlformats.org/officeDocument/2006/docPropsVTypes"/>
</file>