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ONLINE-MATERIAL ZU ABSCHNITT 1.11</w:t>
      </w:r>
    </w:p>
    <w:p>
      <w:pPr>
        <w:pStyle w:val="Heading1"/>
        <w:spacing w:after="120" w:line="360"/>
      </w:pPr>
      <w:r>
        <w:rPr>
          <w:rFonts w:ascii="Aptos" w:cs="Aptos" w:eastAsia="Aptos" w:hAnsi="Aptos"/>
          <w:b/>
          <w:bCs/>
          <w:color w:val="002060"/>
          <w:sz w:val="36"/>
          <w:szCs w:val="36"/>
        </w:rPr>
        <w:t xml:space="preserve">Front-Test: dokumentiertes und gelebtes System</w:t>
      </w:r>
    </w:p>
    <w:p>
      <w:pPr>
        <w:spacing w:after="200"/>
      </w:pPr>
      <w:r>
        <w:rPr>
          <w:rFonts w:ascii="Aptos" w:cs="Aptos" w:eastAsia="Aptos" w:hAnsi="Aptos"/>
          <w:i/>
          <w:iCs/>
          <w:color w:val="5A5A5A"/>
          <w:sz w:val="22"/>
          <w:szCs w:val="22"/>
        </w:rPr>
        <w:t xml:space="preserve">Leitfaden und Beobachtungsbögen zur Diagnose von Fassadenanteilen im Qualitätsmanagementsystem</w:t>
      </w:r>
    </w:p>
    <w:p>
      <w:pPr>
        <w:pBdr>
          <w:bottom w:val="single" w:color="C9BBA6" w:sz="6" w:space="4"/>
        </w:pBdr>
        <w:spacing w:after="240"/>
      </w:pPr>
      <w:r>
        <w:rPr>
          <w:rFonts w:ascii="Aptos" w:cs="Aptos" w:eastAsia="Aptos" w:hAnsi="Aptos"/>
          <w:color w:val="5A5A5A"/>
          <w:sz w:val="17"/>
          <w:szCs w:val="17"/>
        </w:rPr>
        <w:t xml:space="preserve">Stand: 13. Oktober 2026 · buecher.effedore.com</w:t>
      </w:r>
    </w:p>
    <w:p>
      <w:pPr>
        <w:spacing w:after="140" w:before="0" w:line="300"/>
        <w:jc w:val="both"/>
      </w:pPr>
      <w:r>
        <w:rPr>
          <w:rFonts w:ascii="Aptos" w:cs="Aptos" w:eastAsia="Aptos" w:hAnsi="Aptos"/>
          <w:b/>
          <w:bCs/>
          <w:color w:val="1A1A1A"/>
          <w:sz w:val="21"/>
          <w:szCs w:val="21"/>
        </w:rPr>
        <w:t xml:space="preserve">Wozu.</w:t>
      </w:r>
      <w:r>
        <w:rPr>
          <w:rFonts w:ascii="Aptos" w:cs="Aptos" w:eastAsia="Aptos" w:hAnsi="Aptos"/>
          <w:color w:val="1A1A1A"/>
          <w:sz w:val="21"/>
          <w:szCs w:val="21"/>
        </w:rPr>
        <w:t xml:space="preserve"> Der Front-Test misst den Abstand zwischen dem dokumentierten Verfahren und der gelebten Praxis. Dieser Abstand ist das ehrlichste Maß für den Fassadenanteil eines Systems.</w:t>
      </w:r>
    </w:p>
    <w:p>
      <w:pPr>
        <w:spacing w:after="140" w:before="0" w:line="300"/>
        <w:jc w:val="both"/>
      </w:pPr>
      <w:r>
        <w:rPr>
          <w:rFonts w:ascii="Aptos" w:cs="Aptos" w:eastAsia="Aptos" w:hAnsi="Aptos"/>
          <w:b/>
          <w:bCs/>
          <w:color w:val="1A1A1A"/>
          <w:sz w:val="21"/>
          <w:szCs w:val="21"/>
        </w:rPr>
        <w:t xml:space="preserve">Wer.</w:t>
      </w:r>
      <w:r>
        <w:rPr>
          <w:rFonts w:ascii="Aptos" w:cs="Aptos" w:eastAsia="Aptos" w:hAnsi="Aptos"/>
          <w:color w:val="1A1A1A"/>
          <w:sz w:val="21"/>
          <w:szCs w:val="21"/>
        </w:rPr>
        <w:t xml:space="preserve"> Die Leitung mit der Qualitätsbeauftragten, bei der Neugestaltung zusammen mit den Anwendern der Verfahren. Wird der Test in einem internen Audit eingesetzt, prüft ein anderer, ausreichend unabhängiger Auditor den eigenen Verantwortungsbereich.</w:t>
      </w:r>
    </w:p>
    <w:p>
      <w:pPr>
        <w:spacing w:after="140" w:before="0" w:line="300"/>
        <w:jc w:val="both"/>
      </w:pPr>
      <w:r>
        <w:rPr>
          <w:rFonts w:ascii="Aptos" w:cs="Aptos" w:eastAsia="Aptos" w:hAnsi="Aptos"/>
          <w:b/>
          <w:bCs/>
          <w:color w:val="1A1A1A"/>
          <w:sz w:val="21"/>
          <w:szCs w:val="21"/>
        </w:rPr>
        <w:t xml:space="preserve">Wann.</w:t>
      </w:r>
      <w:r>
        <w:rPr>
          <w:rFonts w:ascii="Aptos" w:cs="Aptos" w:eastAsia="Aptos" w:hAnsi="Aptos"/>
          <w:color w:val="1A1A1A"/>
          <w:sz w:val="21"/>
          <w:szCs w:val="21"/>
        </w:rPr>
        <w:t xml:space="preserve"> Sofort in drei Bereichen, danach für die wichtigsten Prozesse. Gut geeignet als Probelauf vor dem Übergangsaudit und als fester Teil interner Audits.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Einordnung </w:t>
            </w:r>
            <w:r>
              <w:rPr>
                <w:rFonts w:ascii="Aptos" w:cs="Aptos" w:eastAsia="Aptos" w:hAnsi="Aptos"/>
                <w:color w:val="1A1A1A"/>
                <w:sz w:val="21"/>
                <w:szCs w:val="21"/>
              </w:rPr>
              <w:t xml:space="preserve">Die ISO 9001:2026 enthält keine Klausel gegen Fassadensysteme. Sie verengt aber deren Raum: Die Leitung soll Qualitätskultur und ethisches Verhalten fördern und vorleben (5.1). Das Bewusstsein umfasst nun Kultur und Ethik (7.3). Eine Anmerkung beschreibt Kultur auch über beobachtbares Verhalten.</w:t>
            </w:r>
          </w:p>
          <w:p>
            <w:pPr>
              <w:spacing w:after="0" w:line="300"/>
            </w:pPr>
            <w:r>
              <w:rPr>
                <w:rFonts w:ascii="Aptos" w:cs="Aptos" w:eastAsia="Aptos" w:hAnsi="Aptos"/>
                <w:color w:val="1A1A1A"/>
                <w:sz w:val="21"/>
                <w:szCs w:val="21"/>
              </w:rPr>
              <w:t xml:space="preserve">Die Pflicht, Kriterien für Prozesse und für die Annahme der Ergebnisse festzulegen, steht seit 2015 in 8.1. Dokumentiert werden muss, was zur wirksamen Steuerung nötig ist, nicht möglichst viel.</w:t>
            </w:r>
          </w:p>
        </w:tc>
      </w:tr>
    </w:tbl>
    <w:p>
      <w:pPr>
        <w:spacing w:after="120"/>
      </w:pPr>
    </w:p>
    <w:p>
      <w:pPr>
        <w:keepNext/>
        <w:spacing w:after="90" w:before="160"/>
      </w:pPr>
      <w:r>
        <w:rPr>
          <w:rFonts w:ascii="Aptos" w:cs="Aptos" w:eastAsia="Aptos" w:hAnsi="Aptos"/>
          <w:b/>
          <w:bCs/>
          <w:color w:val="5A5A5A"/>
          <w:sz w:val="18"/>
          <w:szCs w:val="18"/>
        </w:rPr>
        <w:t xml:space="preserve">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14"/>
        <w:gridCol w:w="6024"/>
      </w:tblGrid>
      <w:tr>
        <w:trPr>
          <w:tblHeader/>
        </w:trPr>
        <w:tc>
          <w:tcPr>
            <w:tcW w:type="dxa" w:w="36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6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Zeitraum des Front-Tests</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Durchgeführt von (Namen, Funktion)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Auftrag durch (Leitung)</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A. Leitfaden in acht Schritten</w:t>
      </w:r>
    </w:p>
    <w:p>
      <w:pPr>
        <w:pStyle w:val="ListParagraph"/>
        <w:numPr>
          <w:ilvl w:val="0"/>
          <w:numId w:val="2"/>
        </w:numPr>
        <w:spacing w:after="70" w:line="290"/>
        <w:jc w:val="left"/>
      </w:pPr>
      <w:r>
        <w:rPr>
          <w:rFonts w:ascii="Aptos" w:cs="Aptos" w:eastAsia="Aptos" w:hAnsi="Aptos"/>
          <w:b/>
          <w:bCs/>
          <w:color w:val="1A1A1A"/>
          <w:sz w:val="21"/>
          <w:szCs w:val="21"/>
        </w:rPr>
        <w:t xml:space="preserve">Prozesse wählen.</w:t>
      </w:r>
      <w:r>
        <w:rPr>
          <w:rFonts w:ascii="Aptos" w:cs="Aptos" w:eastAsia="Aptos" w:hAnsi="Aptos"/>
          <w:color w:val="1A1A1A"/>
          <w:sz w:val="21"/>
          <w:szCs w:val="21"/>
        </w:rPr>
        <w:t xml:space="preserve"> Für den Anfang drei Bereiche, später die zehn wichtigsten Prozesse.</w:t>
      </w:r>
    </w:p>
    <w:p>
      <w:pPr>
        <w:pStyle w:val="ListParagraph"/>
        <w:numPr>
          <w:ilvl w:val="0"/>
          <w:numId w:val="2"/>
        </w:numPr>
        <w:spacing w:after="70" w:line="290"/>
        <w:jc w:val="left"/>
      </w:pPr>
      <w:r>
        <w:rPr>
          <w:rFonts w:ascii="Aptos" w:cs="Aptos" w:eastAsia="Aptos" w:hAnsi="Aptos"/>
          <w:b/>
          <w:bCs/>
          <w:color w:val="1A1A1A"/>
          <w:sz w:val="21"/>
          <w:szCs w:val="21"/>
        </w:rPr>
        <w:t xml:space="preserve">Verfahren vorher lesen.</w:t>
      </w:r>
      <w:r>
        <w:rPr>
          <w:rFonts w:ascii="Aptos" w:cs="Aptos" w:eastAsia="Aptos" w:hAnsi="Aptos"/>
          <w:color w:val="1A1A1A"/>
          <w:sz w:val="21"/>
          <w:szCs w:val="21"/>
        </w:rPr>
        <w:t xml:space="preserve"> Drei bis fünf Kernpunkte je Verfahren in Bogen 1 notieren.</w:t>
      </w:r>
    </w:p>
    <w:p>
      <w:pPr>
        <w:pStyle w:val="ListParagraph"/>
        <w:numPr>
          <w:ilvl w:val="0"/>
          <w:numId w:val="2"/>
        </w:numPr>
        <w:spacing w:after="70" w:line="290"/>
        <w:jc w:val="left"/>
      </w:pPr>
      <w:r>
        <w:rPr>
          <w:rFonts w:ascii="Aptos" w:cs="Aptos" w:eastAsia="Aptos" w:hAnsi="Aptos"/>
          <w:b/>
          <w:bCs/>
          <w:color w:val="1A1A1A"/>
          <w:sz w:val="21"/>
          <w:szCs w:val="21"/>
        </w:rPr>
        <w:t xml:space="preserve">Ohne Vorwarnung fragen.</w:t>
      </w:r>
      <w:r>
        <w:rPr>
          <w:rFonts w:ascii="Aptos" w:cs="Aptos" w:eastAsia="Aptos" w:hAnsi="Aptos"/>
          <w:color w:val="1A1A1A"/>
          <w:sz w:val="21"/>
          <w:szCs w:val="21"/>
        </w:rPr>
        <w:t xml:space="preserve"> Eine Mitarbeitende im laufenden Betrieb offen fragen, wie sie vorgeht.</w:t>
      </w:r>
    </w:p>
    <w:p>
      <w:pPr>
        <w:pStyle w:val="ListParagraph"/>
        <w:numPr>
          <w:ilvl w:val="0"/>
          <w:numId w:val="2"/>
        </w:numPr>
        <w:spacing w:after="70" w:line="290"/>
        <w:jc w:val="left"/>
      </w:pPr>
      <w:r>
        <w:rPr>
          <w:rFonts w:ascii="Aptos" w:cs="Aptos" w:eastAsia="Aptos" w:hAnsi="Aptos"/>
          <w:b/>
          <w:bCs/>
          <w:color w:val="1A1A1A"/>
          <w:sz w:val="21"/>
          <w:szCs w:val="21"/>
        </w:rPr>
        <w:t xml:space="preserve">Zuhören, nicht korrigieren.</w:t>
      </w:r>
      <w:r>
        <w:rPr>
          <w:rFonts w:ascii="Aptos" w:cs="Aptos" w:eastAsia="Aptos" w:hAnsi="Aptos"/>
          <w:color w:val="1A1A1A"/>
          <w:sz w:val="21"/>
          <w:szCs w:val="21"/>
        </w:rPr>
        <w:t xml:space="preserve"> Die Antwort wörtlich notieren. Im Gespräch nichts bewerten und nichts erklären.</w:t>
      </w:r>
    </w:p>
    <w:p>
      <w:pPr>
        <w:pStyle w:val="ListParagraph"/>
        <w:numPr>
          <w:ilvl w:val="0"/>
          <w:numId w:val="2"/>
        </w:numPr>
        <w:spacing w:after="70" w:line="290"/>
        <w:jc w:val="left"/>
      </w:pPr>
      <w:r>
        <w:rPr>
          <w:rFonts w:ascii="Aptos" w:cs="Aptos" w:eastAsia="Aptos" w:hAnsi="Aptos"/>
          <w:b/>
          <w:bCs/>
          <w:color w:val="1A1A1A"/>
          <w:sz w:val="21"/>
          <w:szCs w:val="21"/>
        </w:rPr>
        <w:t xml:space="preserve">Direkt beobachten.</w:t>
      </w:r>
      <w:r>
        <w:rPr>
          <w:rFonts w:ascii="Aptos" w:cs="Aptos" w:eastAsia="Aptos" w:hAnsi="Aptos"/>
          <w:color w:val="1A1A1A"/>
          <w:sz w:val="21"/>
          <w:szCs w:val="21"/>
        </w:rPr>
        <w:t xml:space="preserve"> Einen halben Tag im Bereich verbringen und den realen Ablauf festhalten (Bogen 3).</w:t>
      </w:r>
    </w:p>
    <w:p>
      <w:pPr>
        <w:pStyle w:val="ListParagraph"/>
        <w:numPr>
          <w:ilvl w:val="0"/>
          <w:numId w:val="2"/>
        </w:numPr>
        <w:spacing w:after="70" w:line="290"/>
        <w:jc w:val="left"/>
      </w:pPr>
      <w:r>
        <w:rPr>
          <w:rFonts w:ascii="Aptos" w:cs="Aptos" w:eastAsia="Aptos" w:hAnsi="Aptos"/>
          <w:b/>
          <w:bCs/>
          <w:color w:val="1A1A1A"/>
          <w:sz w:val="21"/>
          <w:szCs w:val="21"/>
        </w:rPr>
        <w:t xml:space="preserve">Vergleichen.</w:t>
      </w:r>
      <w:r>
        <w:rPr>
          <w:rFonts w:ascii="Aptos" w:cs="Aptos" w:eastAsia="Aptos" w:hAnsi="Aptos"/>
          <w:color w:val="1A1A1A"/>
          <w:sz w:val="21"/>
          <w:szCs w:val="21"/>
        </w:rPr>
        <w:t xml:space="preserve"> Jeden Unterschied einordnen: zu korrigierende Abweichung, aufzunehmende funktionale Anpassung oder unrealisierbares Verfahren.</w:t>
      </w:r>
    </w:p>
    <w:p>
      <w:pPr>
        <w:pStyle w:val="ListParagraph"/>
        <w:numPr>
          <w:ilvl w:val="0"/>
          <w:numId w:val="2"/>
        </w:numPr>
        <w:spacing w:after="70" w:line="290"/>
        <w:jc w:val="left"/>
      </w:pPr>
      <w:r>
        <w:rPr>
          <w:rFonts w:ascii="Aptos" w:cs="Aptos" w:eastAsia="Aptos" w:hAnsi="Aptos"/>
          <w:b/>
          <w:bCs/>
          <w:color w:val="1A1A1A"/>
          <w:sz w:val="21"/>
          <w:szCs w:val="21"/>
        </w:rPr>
        <w:t xml:space="preserve">Vom Gelebten ausgehen.</w:t>
      </w:r>
      <w:r>
        <w:rPr>
          <w:rFonts w:ascii="Aptos" w:cs="Aptos" w:eastAsia="Aptos" w:hAnsi="Aptos"/>
          <w:color w:val="1A1A1A"/>
          <w:sz w:val="21"/>
          <w:szCs w:val="21"/>
        </w:rPr>
        <w:t xml:space="preserve"> Entscheiden, ob das Verfahren oder die Praxis verbessert wird. Ein Dokument nie verteidigen, nur weil es existiert.</w:t>
      </w:r>
    </w:p>
    <w:p>
      <w:pPr>
        <w:pStyle w:val="ListParagraph"/>
        <w:numPr>
          <w:ilvl w:val="0"/>
          <w:numId w:val="2"/>
        </w:numPr>
        <w:spacing w:after="70" w:line="290"/>
        <w:jc w:val="left"/>
      </w:pPr>
      <w:r>
        <w:rPr>
          <w:rFonts w:ascii="Aptos" w:cs="Aptos" w:eastAsia="Aptos" w:hAnsi="Aptos"/>
          <w:b/>
          <w:bCs/>
          <w:color w:val="1A1A1A"/>
          <w:sz w:val="21"/>
          <w:szCs w:val="21"/>
        </w:rPr>
        <w:t xml:space="preserve">Mit den Anwendern schreiben.</w:t>
      </w:r>
      <w:r>
        <w:rPr>
          <w:rFonts w:ascii="Aptos" w:cs="Aptos" w:eastAsia="Aptos" w:hAnsi="Aptos"/>
          <w:color w:val="1A1A1A"/>
          <w:sz w:val="21"/>
          <w:szCs w:val="21"/>
        </w:rPr>
        <w:t xml:space="preserve"> Neue Fassungen gemeinsam mit denen schreiben, die sie täglich anwenden.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Gesprächsregel </w:t>
            </w:r>
            <w:r>
              <w:rPr>
                <w:rFonts w:ascii="Aptos" w:cs="Aptos" w:eastAsia="Aptos" w:hAnsi="Aptos"/>
                <w:color w:val="1A1A1A"/>
                <w:sz w:val="21"/>
                <w:szCs w:val="21"/>
              </w:rPr>
              <w:t xml:space="preserve">Der Front-Test prüft das System, nicht die Person. Eine Antwort, die vom Verfahren abweicht, ist ein Befund über das Verfahren. Ergebnisse gehen nicht in Personalunterlagen.</w:t>
            </w:r>
          </w:p>
        </w:tc>
      </w:tr>
    </w:tbl>
    <w:p>
      <w:pPr>
        <w:spacing w:after="120"/>
      </w:pPr>
    </w:p>
    <w:p>
      <w:pPr>
        <w:keepNext/>
        <w:spacing w:after="120" w:before="280"/>
      </w:pPr>
      <w:r>
        <w:rPr>
          <w:rFonts w:ascii="Aptos" w:cs="Aptos" w:eastAsia="Aptos" w:hAnsi="Aptos"/>
          <w:b/>
          <w:bCs/>
          <w:color w:val="8C5A2B"/>
          <w:sz w:val="26"/>
          <w:szCs w:val="26"/>
        </w:rPr>
        <w:t xml:space="preserve">B. Bogen 1: Vorbereitung je Prozess</w:t>
      </w:r>
    </w:p>
    <w:p>
      <w:pPr>
        <w:keepNext/>
        <w:spacing w:after="90" w:before="160"/>
      </w:pPr>
      <w:r>
        <w:rPr>
          <w:rFonts w:ascii="Aptos" w:cs="Aptos" w:eastAsia="Aptos" w:hAnsi="Aptos"/>
          <w:b/>
          <w:bCs/>
          <w:color w:val="5A5A5A"/>
          <w:sz w:val="18"/>
          <w:szCs w:val="18"/>
        </w:rPr>
        <w:t xml:space="preserve">Erste Zeile: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68"/>
        <w:gridCol w:w="1326"/>
        <w:gridCol w:w="2741"/>
        <w:gridCol w:w="1680"/>
        <w:gridCol w:w="1149"/>
        <w:gridCol w:w="974"/>
      </w:tblGrid>
      <w:tr>
        <w:trPr>
          <w:tblHeader/>
        </w:trPr>
        <w:tc>
          <w:tcPr>
            <w:tcW w:type="dxa" w:w="176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Prozess</w:t>
            </w:r>
          </w:p>
        </w:tc>
        <w:tc>
          <w:tcPr>
            <w:tcW w:type="dxa" w:w="13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Dokument und Version</w:t>
            </w:r>
          </w:p>
        </w:tc>
        <w:tc>
          <w:tcPr>
            <w:tcW w:type="dxa" w:w="274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Kernpunkte laut Verfahren (3 bis 5)</w:t>
            </w:r>
          </w:p>
        </w:tc>
        <w:tc>
          <w:tcPr>
            <w:tcW w:type="dxa" w:w="16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Befragte Funktion</w:t>
            </w:r>
          </w:p>
        </w:tc>
        <w:tc>
          <w:tcPr>
            <w:tcW w:type="dxa" w:w="11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Bereich</w:t>
            </w:r>
          </w:p>
        </w:tc>
        <w:tc>
          <w:tcPr>
            <w:tcW w:type="dxa" w:w="9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r>
      <w:tr>
        <w:trPr>
          <w:cantSplit/>
        </w:trPr>
        <w:tc>
          <w:tcPr>
            <w:tcW w:type="dxa" w:w="17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Reklamation, nicht sofort lösbar</w:t>
            </w:r>
          </w:p>
        </w:tc>
        <w:tc>
          <w:tcPr>
            <w:tcW w:type="dxa" w:w="13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7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Annahme, Erfassung, Weitergabe, Rückmeldung an den Gast</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Empfangskraft</w:t>
            </w:r>
          </w:p>
        </w:tc>
        <w:tc>
          <w:tcPr>
            <w:tcW w:type="dxa" w:w="11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Front Office</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3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7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3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7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3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7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3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7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3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7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6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3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74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C. Bogen 2: Front-Gespräch</w:t>
      </w:r>
    </w:p>
    <w:p>
      <w:pPr>
        <w:spacing w:after="140" w:before="0" w:line="300"/>
        <w:jc w:val="both"/>
      </w:pPr>
      <w:r>
        <w:rPr>
          <w:rFonts w:ascii="Aptos" w:cs="Aptos" w:eastAsia="Aptos" w:hAnsi="Aptos"/>
          <w:color w:val="1A1A1A"/>
          <w:sz w:val="21"/>
          <w:szCs w:val="21"/>
        </w:rPr>
        <w:t xml:space="preserve">Die Fragen sind offen gestellt. Sie zielen auf das, was die Person tatsächlich tut, nicht auf das, was im Verfahren steht.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54"/>
        <w:gridCol w:w="4284"/>
      </w:tblGrid>
      <w:tr>
        <w:trPr>
          <w:tblHeader/>
        </w:trPr>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Leitfrage</w:t>
            </w:r>
          </w:p>
        </w:tc>
        <w:tc>
          <w:tcPr>
            <w:tcW w:type="dxa" w:w="42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Notiz zur Antwort</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Wie gehen Sie vor, wenn ein Gast eine Reklamation äußert, die Sie nicht sofort lösen können?</w:t>
            </w:r>
          </w:p>
        </w:tc>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Woran erkennen Sie, dass Ihr Arbeitsergebnis in Ordnung ist?</w:t>
            </w:r>
          </w:p>
        </w:tc>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Was tun Sie, wenn die zuständige Person, das System oder ein Lieferant fehlt?</w:t>
            </w:r>
          </w:p>
        </w:tc>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Wo schauen Sie nach, wenn Sie unsicher sind?</w:t>
            </w:r>
          </w:p>
        </w:tc>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Was hat sich an diesem Ablauf zuletzt geändert, und wie haben Sie davon erfahren?</w:t>
            </w:r>
          </w:p>
        </w:tc>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Was würden Sie an diesem Ablauf ändern?</w:t>
            </w:r>
          </w:p>
        </w:tc>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Abgleich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66"/>
        <w:gridCol w:w="3076"/>
        <w:gridCol w:w="1846"/>
        <w:gridCol w:w="2050"/>
      </w:tblGrid>
      <w:tr>
        <w:trPr>
          <w:tblHeader/>
        </w:trPr>
        <w:tc>
          <w:tcPr>
            <w:tcW w:type="dxa" w:w="266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Kernpunkt laut Verfahren</w:t>
            </w:r>
          </w:p>
        </w:tc>
        <w:tc>
          <w:tcPr>
            <w:tcW w:type="dxa" w:w="30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Beschriebene Praxis</w:t>
            </w:r>
          </w:p>
        </w:tc>
        <w:tc>
          <w:tcPr>
            <w:tcW w:type="dxa" w:w="18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Übereinstimmung (ja / teilweise / nein)</w:t>
            </w:r>
          </w:p>
        </w:tc>
        <w:tc>
          <w:tcPr>
            <w:tcW w:type="dxa" w:w="20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Bemerkung</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0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D. Bogen 3: Direkte Beobachtung</w:t>
      </w:r>
    </w:p>
    <w:p>
      <w:pPr>
        <w:spacing w:after="140" w:before="0" w:line="300"/>
        <w:jc w:val="both"/>
      </w:pPr>
      <w:r>
        <w:rPr>
          <w:rFonts w:ascii="Aptos" w:cs="Aptos" w:eastAsia="Aptos" w:hAnsi="Aptos"/>
          <w:color w:val="1A1A1A"/>
          <w:sz w:val="21"/>
          <w:szCs w:val="21"/>
        </w:rPr>
        <w:t xml:space="preserve">Zu jedem Unterschied wird eingetragen, welcher Art er ist. Nur so lässt sich entscheiden, ob das Verfahren oder die Praxis geändert wird.</w:t>
      </w:r>
    </w:p>
    <w:p>
      <w:pPr>
        <w:keepNext/>
        <w:spacing w:after="90" w:before="160"/>
      </w:pPr>
      <w:r>
        <w:rPr>
          <w:rFonts w:ascii="Aptos" w:cs="Aptos" w:eastAsia="Aptos" w:hAnsi="Aptos"/>
          <w:b/>
          <w:bCs/>
          <w:color w:val="5A5A5A"/>
          <w:sz w:val="18"/>
          <w:szCs w:val="18"/>
        </w:rPr>
        <w:t xml:space="preserve">Erste Zeile: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18"/>
        <w:gridCol w:w="1637"/>
        <w:gridCol w:w="2182"/>
        <w:gridCol w:w="1818"/>
        <w:gridCol w:w="2183"/>
      </w:tblGrid>
      <w:tr>
        <w:trPr>
          <w:tblHeader/>
        </w:trPr>
        <w:tc>
          <w:tcPr>
            <w:tcW w:type="dxa" w:w="18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Schritt / Bereich</w:t>
            </w:r>
          </w:p>
        </w:tc>
        <w:tc>
          <w:tcPr>
            <w:tcW w:type="dxa" w:w="16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Dokumentiert</w:t>
            </w:r>
          </w:p>
        </w:tc>
        <w:tc>
          <w:tcPr>
            <w:tcW w:type="dxa" w:w="21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Real beobachtet</w:t>
            </w:r>
          </w:p>
        </w:tc>
        <w:tc>
          <w:tcPr>
            <w:tcW w:type="dxa" w:w="181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Art des Unterschieds</w:t>
            </w:r>
          </w:p>
        </w:tc>
        <w:tc>
          <w:tcPr>
            <w:tcW w:type="dxa" w:w="21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Vorgeschlagener nächster Schritt</w:t>
            </w:r>
          </w:p>
        </w:tc>
      </w:tr>
      <w:tr>
        <w:trPr>
          <w:cantSplit/>
        </w:trPr>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Zimmerinspektion Hochsaison</w:t>
            </w:r>
          </w:p>
        </w:tc>
        <w:tc>
          <w:tcPr>
            <w:tcW w:type="dxa" w:w="16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100 % durch die Hausdame</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30 bis 40 % direkt, Rest delegiert, schwankende Kriterien</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Verfahren unter realen Bedingungen unrealisierbar</w:t>
            </w:r>
          </w:p>
        </w:tc>
        <w:tc>
          <w:tcPr>
            <w:tcW w:type="dxa" w:w="21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Stichprobeninspektion mit Checkliste und Fotonachweis festlegen</w:t>
            </w:r>
          </w:p>
        </w:tc>
      </w:tr>
      <w:tr>
        <w:trPr>
          <w:cantSplit/>
        </w:trPr>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1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E. Bogen 4: Anzeichen einer Fassade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91"/>
        <w:gridCol w:w="2051"/>
        <w:gridCol w:w="2051"/>
        <w:gridCol w:w="1845"/>
      </w:tblGrid>
      <w:tr>
        <w:trPr>
          <w:tblHeader/>
        </w:trPr>
        <w:tc>
          <w:tcPr>
            <w:tcW w:type="dxa" w:w="36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0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Evidenz</w:t>
            </w:r>
          </w:p>
        </w:tc>
        <w:tc>
          <w:tcPr>
            <w:tcW w:type="dxa" w:w="20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Befund</w:t>
            </w:r>
          </w:p>
        </w:tc>
        <w:tc>
          <w:tcPr>
            <w:tcW w:type="dxa" w:w="18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Bewertung (trifft zu / teilweise / nicht)</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Kennen die Mitarbeitenden «ihr» Verfahren?</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Existiert Schulung nur als Unterschriftenliste, oder wird ihre Wirksamkeit bewertet?</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«Gehört» das System einer einzigen Person?</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Beginnt vor dem Audit das Aufräumen?</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Beschreiben Verfahren einen idealen, nie gelebten Ablauf?</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Regeln die Verfahren die häufigsten Abweichungen vom Standardfall?</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Wurden Verfahren nach Änderungen im Prozess aktualisiert, oder nur zum Audit?</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Spricht die Leitung in Besprechungen über konkrete Prozesse und fragt nach Hürden?</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F. Abstandskarte und Indikator</w:t>
      </w:r>
    </w:p>
    <w:p>
      <w:pPr>
        <w:spacing w:after="140" w:before="0" w:line="300"/>
        <w:jc w:val="both"/>
      </w:pPr>
      <w:r>
        <w:rPr>
          <w:rFonts w:ascii="Aptos" w:cs="Aptos" w:eastAsia="Aptos" w:hAnsi="Aptos"/>
          <w:color w:val="1A1A1A"/>
          <w:sz w:val="21"/>
          <w:szCs w:val="21"/>
        </w:rPr>
        <w:t xml:space="preserve">Die Abstandskarte fasst die Bögen zusammen. Sie ist unangenehm, aber die einzige ehrliche Grundlage für die Neugestaltung.</w:t>
      </w:r>
    </w:p>
    <w:p>
      <w:pPr>
        <w:spacing w:after="140" w:before="0" w:line="300"/>
        <w:jc w:val="both"/>
      </w:pPr>
      <w:r>
        <w:rPr>
          <w:rFonts w:ascii="Aptos" w:cs="Aptos" w:eastAsia="Aptos" w:hAnsi="Aptos"/>
          <w:color w:val="1A1A1A"/>
          <w:sz w:val="21"/>
          <w:szCs w:val="21"/>
        </w:rPr>
        <w:t xml:space="preserve">Je Prozess eine Spalte ankreuzen: Dokument und Praxis decken sich weitgehend, weichen erheblich ab, oder das Verfahren beschreibt einen nie gelebten Ablauf.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45"/>
        <w:gridCol w:w="1061"/>
        <w:gridCol w:w="1061"/>
        <w:gridCol w:w="1061"/>
        <w:gridCol w:w="1945"/>
        <w:gridCol w:w="1680"/>
        <w:gridCol w:w="885"/>
      </w:tblGrid>
      <w:tr>
        <w:trPr>
          <w:tblHeader/>
        </w:trPr>
        <w:tc>
          <w:tcPr>
            <w:tcW w:type="dxa" w:w="19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Prozess</w:t>
            </w:r>
          </w:p>
        </w:tc>
        <w:tc>
          <w:tcPr>
            <w:tcW w:type="dxa" w:w="10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Deckt sich</w:t>
            </w:r>
          </w:p>
        </w:tc>
        <w:tc>
          <w:tcPr>
            <w:tcW w:type="dxa" w:w="10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Weicht ab</w:t>
            </w:r>
          </w:p>
        </w:tc>
        <w:tc>
          <w:tcPr>
            <w:tcW w:type="dxa" w:w="10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Nie gelebt</w:t>
            </w:r>
          </w:p>
        </w:tc>
        <w:tc>
          <w:tcPr>
            <w:tcW w:type="dxa" w:w="194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Nächster Schritt</w:t>
            </w:r>
          </w:p>
        </w:tc>
        <w:tc>
          <w:tcPr>
            <w:tcW w:type="dxa" w:w="168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88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Frist</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94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8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160"/>
      </w:pPr>
      <w:r>
        <w:rPr>
          <w:rFonts w:ascii="Aptos" w:cs="Aptos" w:eastAsia="Aptos" w:hAnsi="Aptos"/>
          <w:b/>
          <w:bCs/>
          <w:color w:val="5A5A5A"/>
          <w:sz w:val="18"/>
          <w:szCs w:val="18"/>
        </w:rPr>
        <w:t xml:space="preserve">Indikator: Anteil der stichprobenartig geprüften Prozesse, bei denen Beschreibung und Verfahren übereinstimmen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6"/>
        <w:gridCol w:w="1606"/>
        <w:gridCol w:w="1807"/>
        <w:gridCol w:w="1807"/>
        <w:gridCol w:w="3012"/>
      </w:tblGrid>
      <w:tr>
        <w:trPr>
          <w:tblHeader/>
        </w:trPr>
        <w:tc>
          <w:tcPr>
            <w:tcW w:type="dxa" w:w="14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Periode</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Geprüfte Prozesse</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Davon übereinstimmend</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Übereinstimmungsquote</w:t>
            </w:r>
          </w:p>
        </w:tc>
        <w:tc>
          <w:tcPr>
            <w:tcW w:type="dxa" w:w="3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Kommentar</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G. Sichtbarkeit der Leitung</w:t>
      </w:r>
    </w:p>
    <w:p>
      <w:pPr>
        <w:spacing w:after="140" w:before="0" w:line="300"/>
        <w:jc w:val="both"/>
      </w:pPr>
      <w:r>
        <w:rPr>
          <w:rFonts w:ascii="Aptos" w:cs="Aptos" w:eastAsia="Aptos" w:hAnsi="Aptos"/>
          <w:color w:val="1A1A1A"/>
          <w:sz w:val="21"/>
          <w:szCs w:val="21"/>
        </w:rPr>
        <w:t xml:space="preserve">Beobachtbares Verhalten an der Spitze erzeugt beobachtbares Verhalten im Haus. Die Leitung hält fest, wo sie Qualität sichtbar gemacht hat.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8"/>
        <w:gridCol w:w="2410"/>
        <w:gridCol w:w="2610"/>
        <w:gridCol w:w="2610"/>
      </w:tblGrid>
      <w:tr>
        <w:trPr>
          <w:tblHeader/>
        </w:trPr>
        <w:tc>
          <w:tcPr>
            <w:tcW w:type="dxa" w:w="200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 / Besprechung</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Besprochener Prozess</w:t>
            </w:r>
          </w:p>
        </w:tc>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Genannte Hürden</w:t>
            </w:r>
          </w:p>
        </w:tc>
        <w:tc>
          <w:tcPr>
            <w:tcW w:type="dxa" w:w="26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Vereinbarter Folgeschritt</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00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6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ersetzt nicht den Normtext der ISO 9001:2026 und keine Rechts- oder Zertifizierungsberatung. Es ist kein Instrument der Leistungsbeurteilung von Personen. Fragen, Bögen und Beispiele sind an das eigene Haus anzupassen. Stand: 13. Oktober 2026.</w:t>
      </w:r>
    </w:p>
    <w:p>
      <w:pPr>
        <w:spacing w:after="140" w:before="0" w:line="300"/>
        <w:jc w:val="both"/>
      </w:pPr>
      <w:r>
        <w:rPr>
          <w:rFonts w:ascii="Aptos" w:cs="Aptos" w:eastAsia="Aptos" w:hAnsi="Aptos"/>
          <w:i/>
          <w:iCs/>
          <w:color w:val="1A1A1A"/>
          <w:sz w:val="21"/>
          <w:szCs w:val="21"/>
        </w:rPr>
        <w:t xml:space="preserve">Bezug im Buch: Band 2a, Abschnitt 1.11 (ergänzend Abschnitt 2.8)</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2026-10-13T00:12:40.957Z</dcterms:created>
  <dcterms:modified xsi:type="dcterms:W3CDTF">2026-10-13T00:12:40.957Z</dcterms:modified>
</cp:coreProperties>
</file>

<file path=docProps/custom.xml><?xml version="1.0" encoding="utf-8"?>
<Properties xmlns="http://schemas.openxmlformats.org/officeDocument/2006/custom-properties" xmlns:vt="http://schemas.openxmlformats.org/officeDocument/2006/docPropsVTypes"/>
</file>